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53CA" w14:textId="77777777" w:rsidR="0098530D" w:rsidRPr="008F6E88" w:rsidRDefault="0098530D" w:rsidP="0098530D">
      <w:pPr>
        <w:pStyle w:val="Texto"/>
        <w:rPr>
          <w:noProof/>
          <w:sz w:val="16"/>
        </w:rPr>
      </w:pPr>
      <w:r w:rsidRPr="008F6E88">
        <w:rPr>
          <w:noProof/>
          <w:sz w:val="16"/>
        </w:rPr>
        <w:t>ANEXO 7 DE LA RESOLUCIÓN MISCELÁNEA FISCAL PARA 2025</w:t>
      </w:r>
    </w:p>
    <w:p w14:paraId="31464759" w14:textId="77777777" w:rsidR="0098530D" w:rsidRDefault="0098530D" w:rsidP="0098530D">
      <w:pPr>
        <w:pStyle w:val="ANOTACION"/>
        <w:spacing w:line="232" w:lineRule="exact"/>
      </w:pPr>
      <w:r w:rsidRPr="00AB7CA1">
        <w:t>Compilación de criterios normativos fiscales</w:t>
      </w:r>
    </w:p>
    <w:p w14:paraId="702BFF70" w14:textId="77777777" w:rsidR="0098530D" w:rsidRPr="00AB7CA1" w:rsidRDefault="0098530D" w:rsidP="0098530D">
      <w:pPr>
        <w:pStyle w:val="Texto"/>
        <w:spacing w:line="232" w:lineRule="exact"/>
        <w:rPr>
          <w:b/>
        </w:rPr>
      </w:pPr>
      <w:r w:rsidRPr="00AB7CA1">
        <w:t>Para los efectos de los artículos 33, penúltimo párrafo y 35 del CFF, en relación con la regla 1.9.,</w:t>
      </w:r>
      <w:r>
        <w:t xml:space="preserve"> </w:t>
      </w:r>
      <w:r w:rsidRPr="00AB7CA1">
        <w:t>fracción VI, se dan a conocer los criterios normativos en materia de impuestos internos, conforme a lo siguiente:</w:t>
      </w:r>
    </w:p>
    <w:p w14:paraId="62F37148" w14:textId="77777777" w:rsidR="0098530D" w:rsidRPr="00AB7CA1" w:rsidRDefault="0098530D" w:rsidP="0098530D">
      <w:pPr>
        <w:pStyle w:val="Texto"/>
        <w:spacing w:line="232" w:lineRule="exact"/>
        <w:ind w:firstLine="0"/>
        <w:jc w:val="center"/>
        <w:rPr>
          <w:b/>
        </w:rPr>
      </w:pPr>
      <w:r w:rsidRPr="00AB7CA1">
        <w:rPr>
          <w:b/>
        </w:rPr>
        <w:t>Contenido</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22"/>
      </w:tblGrid>
      <w:tr w:rsidR="0098530D" w:rsidRPr="00AB7CA1" w14:paraId="34883EE4" w14:textId="77777777" w:rsidTr="00552502">
        <w:tblPrEx>
          <w:tblCellMar>
            <w:top w:w="0" w:type="dxa"/>
            <w:bottom w:w="0" w:type="dxa"/>
          </w:tblCellMar>
        </w:tblPrEx>
        <w:trPr>
          <w:cantSplit/>
          <w:trHeight w:val="20"/>
        </w:trPr>
        <w:tc>
          <w:tcPr>
            <w:tcW w:w="5000" w:type="pct"/>
            <w:shd w:val="pct12" w:color="auto" w:fill="auto"/>
            <w:noWrap/>
          </w:tcPr>
          <w:p w14:paraId="304DD244" w14:textId="77777777" w:rsidR="0098530D" w:rsidRPr="00AB7CA1" w:rsidRDefault="0098530D" w:rsidP="00552502">
            <w:pPr>
              <w:pStyle w:val="Texto"/>
              <w:spacing w:before="40" w:after="40" w:line="222" w:lineRule="exact"/>
              <w:ind w:left="432" w:hanging="432"/>
              <w:rPr>
                <w:b/>
              </w:rPr>
            </w:pPr>
            <w:r w:rsidRPr="00AB7CA1">
              <w:rPr>
                <w:b/>
              </w:rPr>
              <w:t>A.</w:t>
            </w:r>
            <w:r w:rsidRPr="00AB7CA1">
              <w:rPr>
                <w:b/>
              </w:rPr>
              <w:tab/>
              <w:t>Vigentes:</w:t>
            </w:r>
          </w:p>
        </w:tc>
      </w:tr>
      <w:tr w:rsidR="0098530D" w:rsidRPr="00AB7CA1" w14:paraId="0881029D" w14:textId="77777777" w:rsidTr="00552502">
        <w:tblPrEx>
          <w:tblCellMar>
            <w:top w:w="0" w:type="dxa"/>
            <w:bottom w:w="0" w:type="dxa"/>
          </w:tblCellMar>
        </w:tblPrEx>
        <w:trPr>
          <w:cantSplit/>
          <w:trHeight w:val="20"/>
        </w:trPr>
        <w:tc>
          <w:tcPr>
            <w:tcW w:w="5000" w:type="pct"/>
            <w:tcBorders>
              <w:bottom w:val="single" w:sz="6" w:space="0" w:color="auto"/>
            </w:tcBorders>
            <w:shd w:val="pct12" w:color="auto" w:fill="auto"/>
          </w:tcPr>
          <w:p w14:paraId="69E16F8A" w14:textId="77777777" w:rsidR="0098530D" w:rsidRPr="00AB7CA1" w:rsidRDefault="0098530D" w:rsidP="00552502">
            <w:pPr>
              <w:pStyle w:val="Texto"/>
              <w:spacing w:before="40" w:after="40" w:line="222" w:lineRule="exact"/>
              <w:ind w:left="864" w:hanging="432"/>
              <w:rPr>
                <w:b/>
              </w:rPr>
            </w:pPr>
            <w:bookmarkStart w:id="0" w:name="N_Hlk153812202"/>
            <w:r w:rsidRPr="00AB7CA1">
              <w:rPr>
                <w:b/>
              </w:rPr>
              <w:t>I.</w:t>
            </w:r>
            <w:r w:rsidRPr="00AB7CA1">
              <w:rPr>
                <w:b/>
              </w:rPr>
              <w:tab/>
              <w:t>Criterios del CFF</w:t>
            </w:r>
          </w:p>
        </w:tc>
      </w:tr>
      <w:tr w:rsidR="0098530D" w:rsidRPr="00AB7CA1" w14:paraId="40F21F8A" w14:textId="77777777" w:rsidTr="00552502">
        <w:tblPrEx>
          <w:tblCellMar>
            <w:top w:w="0" w:type="dxa"/>
            <w:bottom w:w="0" w:type="dxa"/>
          </w:tblCellMar>
        </w:tblPrEx>
        <w:trPr>
          <w:cantSplit/>
          <w:trHeight w:val="20"/>
        </w:trPr>
        <w:tc>
          <w:tcPr>
            <w:tcW w:w="5000" w:type="pct"/>
            <w:tcBorders>
              <w:bottom w:val="nil"/>
            </w:tcBorders>
          </w:tcPr>
          <w:p w14:paraId="584DEFB7" w14:textId="77777777" w:rsidR="0098530D" w:rsidRPr="00AB7CA1" w:rsidRDefault="0098530D" w:rsidP="00552502">
            <w:pPr>
              <w:pStyle w:val="Texto"/>
              <w:spacing w:before="40" w:after="40" w:line="222" w:lineRule="exact"/>
              <w:ind w:left="2016" w:hanging="1152"/>
            </w:pPr>
            <w:r w:rsidRPr="00AB7CA1">
              <w:rPr>
                <w:b/>
              </w:rPr>
              <w:t>1/CFF/N</w:t>
            </w:r>
            <w:r w:rsidRPr="00AB7CA1">
              <w:tab/>
              <w:t>Crédito fiscal. Es firme cuando han transcurrido los términos legales para su impugnación, exista desistimiento a este o su resolución ya no admita medio de defensa alguno.</w:t>
            </w:r>
          </w:p>
        </w:tc>
      </w:tr>
      <w:tr w:rsidR="0098530D" w:rsidRPr="00AB7CA1" w14:paraId="4F9E4D2E" w14:textId="77777777" w:rsidTr="00552502">
        <w:tblPrEx>
          <w:tblCellMar>
            <w:top w:w="0" w:type="dxa"/>
            <w:bottom w:w="0" w:type="dxa"/>
          </w:tblCellMar>
        </w:tblPrEx>
        <w:trPr>
          <w:cantSplit/>
          <w:trHeight w:val="20"/>
        </w:trPr>
        <w:tc>
          <w:tcPr>
            <w:tcW w:w="5000" w:type="pct"/>
            <w:tcBorders>
              <w:top w:val="nil"/>
              <w:bottom w:val="nil"/>
            </w:tcBorders>
          </w:tcPr>
          <w:p w14:paraId="23B0C5BB" w14:textId="77777777" w:rsidR="0098530D" w:rsidRPr="00AB7CA1" w:rsidRDefault="0098530D" w:rsidP="00552502">
            <w:pPr>
              <w:pStyle w:val="Texto"/>
              <w:spacing w:before="40" w:after="40" w:line="222" w:lineRule="exact"/>
              <w:ind w:left="2016" w:hanging="1152"/>
            </w:pPr>
            <w:r w:rsidRPr="00AB7CA1">
              <w:rPr>
                <w:b/>
              </w:rPr>
              <w:t>2/CFF/N</w:t>
            </w:r>
            <w:r w:rsidRPr="00AB7CA1">
              <w:rPr>
                <w:b/>
              </w:rPr>
              <w:tab/>
            </w:r>
            <w:r w:rsidRPr="00AB7CA1">
              <w:t>Normas sustantivas. Reúnen esta característica las aplicables para determinar la pérdida fiscal.</w:t>
            </w:r>
          </w:p>
        </w:tc>
      </w:tr>
      <w:tr w:rsidR="0098530D" w:rsidRPr="00AB7CA1" w14:paraId="3790CC45" w14:textId="77777777" w:rsidTr="00552502">
        <w:tblPrEx>
          <w:tblCellMar>
            <w:top w:w="0" w:type="dxa"/>
            <w:bottom w:w="0" w:type="dxa"/>
          </w:tblCellMar>
        </w:tblPrEx>
        <w:trPr>
          <w:cantSplit/>
          <w:trHeight w:val="20"/>
        </w:trPr>
        <w:tc>
          <w:tcPr>
            <w:tcW w:w="5000" w:type="pct"/>
            <w:tcBorders>
              <w:top w:val="nil"/>
              <w:bottom w:val="nil"/>
            </w:tcBorders>
          </w:tcPr>
          <w:p w14:paraId="0703CB09" w14:textId="77777777" w:rsidR="0098530D" w:rsidRPr="00AB7CA1" w:rsidRDefault="0098530D" w:rsidP="00552502">
            <w:pPr>
              <w:pStyle w:val="Texto"/>
              <w:spacing w:before="40" w:after="40" w:line="222" w:lineRule="exact"/>
              <w:ind w:left="2016" w:hanging="1152"/>
            </w:pPr>
            <w:r w:rsidRPr="00AB7CA1">
              <w:rPr>
                <w:b/>
              </w:rPr>
              <w:t>3/CFF/N</w:t>
            </w:r>
            <w:r w:rsidRPr="00AB7CA1">
              <w:rPr>
                <w:b/>
              </w:rPr>
              <w:tab/>
            </w:r>
            <w:r w:rsidRPr="00AB7CA1">
              <w:t>Principios de contabilidad generalmente aceptados y normas de información financiera. Su aplicación.</w:t>
            </w:r>
          </w:p>
        </w:tc>
      </w:tr>
      <w:tr w:rsidR="0098530D" w:rsidRPr="00AB7CA1" w14:paraId="1F5E6E13" w14:textId="77777777" w:rsidTr="00552502">
        <w:tblPrEx>
          <w:tblCellMar>
            <w:top w:w="0" w:type="dxa"/>
            <w:bottom w:w="0" w:type="dxa"/>
          </w:tblCellMar>
        </w:tblPrEx>
        <w:trPr>
          <w:cantSplit/>
          <w:trHeight w:val="20"/>
        </w:trPr>
        <w:tc>
          <w:tcPr>
            <w:tcW w:w="5000" w:type="pct"/>
            <w:tcBorders>
              <w:top w:val="nil"/>
              <w:bottom w:val="nil"/>
            </w:tcBorders>
          </w:tcPr>
          <w:p w14:paraId="48F94F27" w14:textId="77777777" w:rsidR="0098530D" w:rsidRPr="00AB7CA1" w:rsidRDefault="0098530D" w:rsidP="00552502">
            <w:pPr>
              <w:pStyle w:val="Texto"/>
              <w:spacing w:before="40" w:after="40" w:line="222" w:lineRule="exact"/>
              <w:ind w:left="2016" w:hanging="1152"/>
            </w:pPr>
            <w:r w:rsidRPr="00AB7CA1">
              <w:rPr>
                <w:b/>
              </w:rPr>
              <w:t>4/CFF/N</w:t>
            </w:r>
            <w:r w:rsidRPr="00AB7CA1">
              <w:tab/>
              <w:t>Momento en que se lleva a cabo la fusión, para efectos de la presentación del aviso de cancelación en el RFC por fusión de sociedades.</w:t>
            </w:r>
          </w:p>
        </w:tc>
      </w:tr>
      <w:tr w:rsidR="0098530D" w:rsidRPr="00AB7CA1" w14:paraId="2D4A6237" w14:textId="77777777" w:rsidTr="00552502">
        <w:tblPrEx>
          <w:tblCellMar>
            <w:top w:w="0" w:type="dxa"/>
            <w:bottom w:w="0" w:type="dxa"/>
          </w:tblCellMar>
        </w:tblPrEx>
        <w:trPr>
          <w:cantSplit/>
          <w:trHeight w:val="20"/>
        </w:trPr>
        <w:tc>
          <w:tcPr>
            <w:tcW w:w="5000" w:type="pct"/>
            <w:tcBorders>
              <w:top w:val="nil"/>
              <w:bottom w:val="nil"/>
            </w:tcBorders>
          </w:tcPr>
          <w:p w14:paraId="04B19FC1" w14:textId="77777777" w:rsidR="0098530D" w:rsidRPr="00AB7CA1" w:rsidRDefault="0098530D" w:rsidP="00552502">
            <w:pPr>
              <w:pStyle w:val="Texto"/>
              <w:spacing w:before="40" w:after="40" w:line="222" w:lineRule="exact"/>
              <w:ind w:left="2016" w:hanging="1152"/>
            </w:pPr>
            <w:r w:rsidRPr="00AB7CA1">
              <w:rPr>
                <w:b/>
              </w:rPr>
              <w:t>5/CFF/N</w:t>
            </w:r>
            <w:r w:rsidRPr="00AB7CA1">
              <w:tab/>
              <w:t>Regalías por el uso o goce temporal de derechos de autor sobre obras literarias, artísticas o científicas. Los pagos que se realicen en virtud de cualquier acto jurídico que tenga por objeto la distribución de una obra tienen dicho carácter.</w:t>
            </w:r>
          </w:p>
        </w:tc>
      </w:tr>
      <w:tr w:rsidR="0098530D" w:rsidRPr="00AB7CA1" w14:paraId="2A4E5EFB" w14:textId="77777777" w:rsidTr="00552502">
        <w:tblPrEx>
          <w:tblCellMar>
            <w:top w:w="0" w:type="dxa"/>
            <w:bottom w:w="0" w:type="dxa"/>
          </w:tblCellMar>
        </w:tblPrEx>
        <w:trPr>
          <w:cantSplit/>
          <w:trHeight w:val="20"/>
        </w:trPr>
        <w:tc>
          <w:tcPr>
            <w:tcW w:w="5000" w:type="pct"/>
            <w:tcBorders>
              <w:top w:val="nil"/>
              <w:bottom w:val="nil"/>
            </w:tcBorders>
          </w:tcPr>
          <w:p w14:paraId="19A6AD2D" w14:textId="77777777" w:rsidR="0098530D" w:rsidRPr="00AB7CA1" w:rsidRDefault="0098530D" w:rsidP="00552502">
            <w:pPr>
              <w:pStyle w:val="Texto"/>
              <w:spacing w:before="40" w:after="40" w:line="222" w:lineRule="exact"/>
              <w:ind w:left="2016" w:hanging="1152"/>
            </w:pPr>
            <w:r w:rsidRPr="00AB7CA1">
              <w:rPr>
                <w:b/>
              </w:rPr>
              <w:t>6/CFF/N</w:t>
            </w:r>
            <w:r w:rsidRPr="00AB7CA1">
              <w:tab/>
              <w:t>Pesca deportiva. Los servicios turísticos que prestan las embarcaciones se consideran actividades comerciales.</w:t>
            </w:r>
          </w:p>
        </w:tc>
      </w:tr>
      <w:tr w:rsidR="0098530D" w:rsidRPr="00AB7CA1" w14:paraId="2CF55822" w14:textId="77777777" w:rsidTr="00552502">
        <w:tblPrEx>
          <w:tblCellMar>
            <w:top w:w="0" w:type="dxa"/>
            <w:bottom w:w="0" w:type="dxa"/>
          </w:tblCellMar>
        </w:tblPrEx>
        <w:trPr>
          <w:cantSplit/>
          <w:trHeight w:val="20"/>
        </w:trPr>
        <w:tc>
          <w:tcPr>
            <w:tcW w:w="5000" w:type="pct"/>
            <w:tcBorders>
              <w:top w:val="nil"/>
              <w:bottom w:val="nil"/>
            </w:tcBorders>
          </w:tcPr>
          <w:p w14:paraId="1B9E8F8A" w14:textId="77777777" w:rsidR="0098530D" w:rsidRPr="00AB7CA1" w:rsidRDefault="0098530D" w:rsidP="00552502">
            <w:pPr>
              <w:pStyle w:val="Texto"/>
              <w:spacing w:before="40" w:after="40" w:line="222" w:lineRule="exact"/>
              <w:ind w:left="2016" w:hanging="1152"/>
            </w:pPr>
            <w:r w:rsidRPr="00AB7CA1">
              <w:rPr>
                <w:b/>
              </w:rPr>
              <w:t>7/CFF/N</w:t>
            </w:r>
            <w:r w:rsidRPr="00AB7CA1">
              <w:tab/>
              <w:t>Aplicación de las cantidades pagadas en devoluciones en cantidades menores a la cantidad solicitada.</w:t>
            </w:r>
          </w:p>
        </w:tc>
      </w:tr>
      <w:tr w:rsidR="0098530D" w:rsidRPr="00AB7CA1" w14:paraId="2D3C9839" w14:textId="77777777" w:rsidTr="00552502">
        <w:tblPrEx>
          <w:tblCellMar>
            <w:top w:w="0" w:type="dxa"/>
            <w:bottom w:w="0" w:type="dxa"/>
          </w:tblCellMar>
        </w:tblPrEx>
        <w:trPr>
          <w:cantSplit/>
          <w:trHeight w:val="20"/>
        </w:trPr>
        <w:tc>
          <w:tcPr>
            <w:tcW w:w="5000" w:type="pct"/>
            <w:tcBorders>
              <w:top w:val="nil"/>
              <w:bottom w:val="nil"/>
            </w:tcBorders>
          </w:tcPr>
          <w:p w14:paraId="5B42D044" w14:textId="77777777" w:rsidR="0098530D" w:rsidRPr="00AB7CA1" w:rsidRDefault="0098530D" w:rsidP="00552502">
            <w:pPr>
              <w:pStyle w:val="Texto"/>
              <w:spacing w:before="40" w:after="40" w:line="222" w:lineRule="exact"/>
              <w:ind w:left="2016" w:hanging="1152"/>
            </w:pPr>
            <w:r w:rsidRPr="00AB7CA1">
              <w:rPr>
                <w:b/>
              </w:rPr>
              <w:t>8/CFF/N</w:t>
            </w:r>
            <w:r w:rsidRPr="00AB7CA1">
              <w:tab/>
              <w:t>Medidas de apremio. Es necesario agotarlas en estricto orden, antes de proceder penalmente por los delitos de desobediencia o resistencia a un mandato de autoridad.</w:t>
            </w:r>
          </w:p>
        </w:tc>
      </w:tr>
      <w:tr w:rsidR="0098530D" w:rsidRPr="00AB7CA1" w14:paraId="42B0B066" w14:textId="77777777" w:rsidTr="00552502">
        <w:tblPrEx>
          <w:tblCellMar>
            <w:top w:w="0" w:type="dxa"/>
            <w:bottom w:w="0" w:type="dxa"/>
          </w:tblCellMar>
        </w:tblPrEx>
        <w:trPr>
          <w:cantSplit/>
          <w:trHeight w:val="20"/>
        </w:trPr>
        <w:tc>
          <w:tcPr>
            <w:tcW w:w="5000" w:type="pct"/>
            <w:tcBorders>
              <w:top w:val="nil"/>
              <w:bottom w:val="nil"/>
            </w:tcBorders>
          </w:tcPr>
          <w:p w14:paraId="08A87C2E" w14:textId="77777777" w:rsidR="0098530D" w:rsidRPr="00AB7CA1" w:rsidRDefault="0098530D" w:rsidP="00552502">
            <w:pPr>
              <w:pStyle w:val="Texto"/>
              <w:spacing w:before="40" w:after="40" w:line="222" w:lineRule="exact"/>
              <w:ind w:left="2016" w:hanging="1152"/>
            </w:pPr>
            <w:r w:rsidRPr="00AB7CA1">
              <w:rPr>
                <w:b/>
              </w:rPr>
              <w:t>9/CFF/N</w:t>
            </w:r>
            <w:r w:rsidRPr="00AB7CA1">
              <w:tab/>
              <w:t>Visitas domiciliarias para verificar el cumplimiento de obligaciones fiscales. No se requiere que se levanten actas parciales y acta final.</w:t>
            </w:r>
          </w:p>
        </w:tc>
      </w:tr>
      <w:tr w:rsidR="0098530D" w:rsidRPr="00AB7CA1" w14:paraId="426252BD" w14:textId="77777777" w:rsidTr="00552502">
        <w:tblPrEx>
          <w:tblCellMar>
            <w:top w:w="0" w:type="dxa"/>
            <w:bottom w:w="0" w:type="dxa"/>
          </w:tblCellMar>
        </w:tblPrEx>
        <w:trPr>
          <w:cantSplit/>
          <w:trHeight w:val="20"/>
        </w:trPr>
        <w:tc>
          <w:tcPr>
            <w:tcW w:w="5000" w:type="pct"/>
            <w:tcBorders>
              <w:top w:val="nil"/>
              <w:bottom w:val="nil"/>
            </w:tcBorders>
          </w:tcPr>
          <w:p w14:paraId="0F6C2208" w14:textId="77777777" w:rsidR="0098530D" w:rsidRPr="00AB7CA1" w:rsidRDefault="0098530D" w:rsidP="00552502">
            <w:pPr>
              <w:pStyle w:val="Texto"/>
              <w:spacing w:before="40" w:after="40" w:line="222" w:lineRule="exact"/>
              <w:ind w:left="2016" w:hanging="1152"/>
              <w:rPr>
                <w:b/>
              </w:rPr>
            </w:pPr>
            <w:r w:rsidRPr="00AB7CA1">
              <w:rPr>
                <w:b/>
              </w:rPr>
              <w:t>10/CFF/N</w:t>
            </w:r>
            <w:r w:rsidRPr="00AB7CA1">
              <w:rPr>
                <w:b/>
              </w:rPr>
              <w:tab/>
            </w:r>
            <w:r w:rsidRPr="00AB7CA1">
              <w:t>Discrepancia fiscal. El resultado de la comprobación se dará a conocer mediante oficio y, en su caso, en la última acta parcial o complementaria.</w:t>
            </w:r>
          </w:p>
        </w:tc>
      </w:tr>
      <w:tr w:rsidR="0098530D" w:rsidRPr="00AB7CA1" w14:paraId="7B02CB07" w14:textId="77777777" w:rsidTr="00552502">
        <w:tblPrEx>
          <w:tblCellMar>
            <w:top w:w="0" w:type="dxa"/>
            <w:bottom w:w="0" w:type="dxa"/>
          </w:tblCellMar>
        </w:tblPrEx>
        <w:trPr>
          <w:cantSplit/>
          <w:trHeight w:val="20"/>
        </w:trPr>
        <w:tc>
          <w:tcPr>
            <w:tcW w:w="5000" w:type="pct"/>
            <w:tcBorders>
              <w:top w:val="nil"/>
              <w:bottom w:val="nil"/>
            </w:tcBorders>
          </w:tcPr>
          <w:p w14:paraId="510D0196" w14:textId="77777777" w:rsidR="0098530D" w:rsidRPr="00AB7CA1" w:rsidRDefault="0098530D" w:rsidP="00552502">
            <w:pPr>
              <w:pStyle w:val="Texto"/>
              <w:spacing w:before="40" w:after="40" w:line="222" w:lineRule="exact"/>
              <w:ind w:left="2016" w:hanging="1152"/>
              <w:rPr>
                <w:b/>
              </w:rPr>
            </w:pPr>
            <w:r w:rsidRPr="00AB7CA1">
              <w:rPr>
                <w:b/>
              </w:rPr>
              <w:t>11/CFF/N</w:t>
            </w:r>
            <w:r w:rsidRPr="00AB7CA1">
              <w:rPr>
                <w:b/>
              </w:rPr>
              <w:tab/>
            </w:r>
            <w:r w:rsidRPr="00AB7CA1">
              <w:t>Garantía del interés fiscal. Están relevadas de otorgarla las instituciones que conforman el Sistema Bancario Mexicano.</w:t>
            </w:r>
          </w:p>
        </w:tc>
      </w:tr>
      <w:tr w:rsidR="0098530D" w:rsidRPr="00AB7CA1" w14:paraId="1FA06A30" w14:textId="77777777" w:rsidTr="00552502">
        <w:tblPrEx>
          <w:tblCellMar>
            <w:top w:w="0" w:type="dxa"/>
            <w:bottom w:w="0" w:type="dxa"/>
          </w:tblCellMar>
        </w:tblPrEx>
        <w:trPr>
          <w:cantSplit/>
          <w:trHeight w:val="20"/>
        </w:trPr>
        <w:tc>
          <w:tcPr>
            <w:tcW w:w="5000" w:type="pct"/>
            <w:tcBorders>
              <w:top w:val="nil"/>
              <w:bottom w:val="nil"/>
            </w:tcBorders>
          </w:tcPr>
          <w:p w14:paraId="3533CF31" w14:textId="77777777" w:rsidR="0098530D" w:rsidRPr="00AB7CA1" w:rsidRDefault="0098530D" w:rsidP="00552502">
            <w:pPr>
              <w:pStyle w:val="Texto"/>
              <w:spacing w:before="40" w:after="40" w:line="222" w:lineRule="exact"/>
              <w:ind w:left="2016" w:hanging="1152"/>
              <w:rPr>
                <w:b/>
              </w:rPr>
            </w:pPr>
            <w:r w:rsidRPr="00AB7CA1">
              <w:rPr>
                <w:b/>
              </w:rPr>
              <w:t>12/CFF/N</w:t>
            </w:r>
            <w:r w:rsidRPr="00AB7CA1">
              <w:rPr>
                <w:b/>
              </w:rPr>
              <w:tab/>
            </w:r>
            <w:r w:rsidRPr="00AB7CA1">
              <w:t>Suspensión del plazo de caducidad cuando se hacen valer medios de defensa.</w:t>
            </w:r>
          </w:p>
        </w:tc>
      </w:tr>
      <w:tr w:rsidR="0098530D" w:rsidRPr="00AB7CA1" w14:paraId="3FC7418D" w14:textId="77777777" w:rsidTr="00552502">
        <w:tblPrEx>
          <w:tblCellMar>
            <w:top w:w="0" w:type="dxa"/>
            <w:bottom w:w="0" w:type="dxa"/>
          </w:tblCellMar>
        </w:tblPrEx>
        <w:trPr>
          <w:cantSplit/>
          <w:trHeight w:val="20"/>
        </w:trPr>
        <w:tc>
          <w:tcPr>
            <w:tcW w:w="5000" w:type="pct"/>
            <w:tcBorders>
              <w:top w:val="nil"/>
              <w:bottom w:val="nil"/>
            </w:tcBorders>
          </w:tcPr>
          <w:p w14:paraId="68166FAD" w14:textId="77777777" w:rsidR="0098530D" w:rsidRPr="00AB7CA1" w:rsidRDefault="0098530D" w:rsidP="00552502">
            <w:pPr>
              <w:pStyle w:val="Texto"/>
              <w:spacing w:before="40" w:after="40" w:line="222" w:lineRule="exact"/>
              <w:ind w:left="2016" w:hanging="1152"/>
              <w:rPr>
                <w:b/>
              </w:rPr>
            </w:pPr>
            <w:r w:rsidRPr="00AB7CA1">
              <w:rPr>
                <w:b/>
              </w:rPr>
              <w:t>13/CFF/N</w:t>
            </w:r>
            <w:r w:rsidRPr="00AB7CA1">
              <w:rPr>
                <w:b/>
              </w:rPr>
              <w:tab/>
            </w:r>
            <w:r w:rsidRPr="00AB7CA1">
              <w:t>Caducidad de las facultades de la autoridad fiscal. La suspensión del plazo con motivo de la interposición de algún recurso administrativo o juicio, debe considerarse independiente del plazo de diez años.</w:t>
            </w:r>
          </w:p>
        </w:tc>
      </w:tr>
      <w:tr w:rsidR="0098530D" w:rsidRPr="00AB7CA1" w14:paraId="2BC2B5E5" w14:textId="77777777" w:rsidTr="00552502">
        <w:tblPrEx>
          <w:tblCellMar>
            <w:top w:w="0" w:type="dxa"/>
            <w:bottom w:w="0" w:type="dxa"/>
          </w:tblCellMar>
        </w:tblPrEx>
        <w:trPr>
          <w:cantSplit/>
          <w:trHeight w:val="20"/>
        </w:trPr>
        <w:tc>
          <w:tcPr>
            <w:tcW w:w="5000" w:type="pct"/>
            <w:tcBorders>
              <w:top w:val="nil"/>
              <w:bottom w:val="nil"/>
            </w:tcBorders>
          </w:tcPr>
          <w:p w14:paraId="5A2A81CF" w14:textId="77777777" w:rsidR="0098530D" w:rsidRPr="00AB7CA1" w:rsidRDefault="0098530D" w:rsidP="00552502">
            <w:pPr>
              <w:pStyle w:val="Texto"/>
              <w:spacing w:before="40" w:after="40" w:line="222" w:lineRule="exact"/>
              <w:ind w:left="2016" w:hanging="1152"/>
              <w:rPr>
                <w:b/>
              </w:rPr>
            </w:pPr>
            <w:r w:rsidRPr="00AB7CA1">
              <w:rPr>
                <w:b/>
              </w:rPr>
              <w:t>14/CFF/N</w:t>
            </w:r>
            <w:r w:rsidRPr="00AB7CA1">
              <w:rPr>
                <w:b/>
              </w:rPr>
              <w:tab/>
            </w:r>
            <w:r w:rsidRPr="00AB7CA1">
              <w:t>Infracciones. Aplicación de las multas establecidas en el CFF.</w:t>
            </w:r>
          </w:p>
        </w:tc>
      </w:tr>
      <w:tr w:rsidR="0098530D" w:rsidRPr="00AB7CA1" w14:paraId="2175A7B1" w14:textId="77777777" w:rsidTr="00552502">
        <w:tblPrEx>
          <w:tblCellMar>
            <w:top w:w="0" w:type="dxa"/>
            <w:bottom w:w="0" w:type="dxa"/>
          </w:tblCellMar>
        </w:tblPrEx>
        <w:trPr>
          <w:cantSplit/>
          <w:trHeight w:val="20"/>
        </w:trPr>
        <w:tc>
          <w:tcPr>
            <w:tcW w:w="5000" w:type="pct"/>
            <w:tcBorders>
              <w:top w:val="nil"/>
              <w:bottom w:val="nil"/>
            </w:tcBorders>
          </w:tcPr>
          <w:p w14:paraId="67C8E7E8" w14:textId="77777777" w:rsidR="0098530D" w:rsidRPr="00AB7CA1" w:rsidRDefault="0098530D" w:rsidP="00552502">
            <w:pPr>
              <w:pStyle w:val="Texto"/>
              <w:spacing w:before="40" w:after="40" w:line="222" w:lineRule="exact"/>
              <w:ind w:left="2016" w:hanging="1152"/>
            </w:pPr>
            <w:r w:rsidRPr="00AB7CA1">
              <w:rPr>
                <w:b/>
              </w:rPr>
              <w:t>15/CFF/N</w:t>
            </w:r>
            <w:r w:rsidRPr="00AB7CA1">
              <w:rPr>
                <w:b/>
              </w:rPr>
              <w:tab/>
            </w:r>
            <w:r w:rsidRPr="00AB7CA1">
              <w:t>Declaración de nulidad lisa y llana o la revocación de la resolución correspondiente no desvirtúa el cumplimiento espontáneo.</w:t>
            </w:r>
          </w:p>
        </w:tc>
      </w:tr>
      <w:tr w:rsidR="0098530D" w:rsidRPr="00AB7CA1" w14:paraId="0AB2DC9C" w14:textId="77777777" w:rsidTr="00552502">
        <w:tblPrEx>
          <w:tblCellMar>
            <w:top w:w="0" w:type="dxa"/>
            <w:bottom w:w="0" w:type="dxa"/>
          </w:tblCellMar>
        </w:tblPrEx>
        <w:trPr>
          <w:cantSplit/>
          <w:trHeight w:val="20"/>
        </w:trPr>
        <w:tc>
          <w:tcPr>
            <w:tcW w:w="5000" w:type="pct"/>
            <w:tcBorders>
              <w:top w:val="nil"/>
              <w:bottom w:val="nil"/>
            </w:tcBorders>
          </w:tcPr>
          <w:p w14:paraId="39AF072B" w14:textId="77777777" w:rsidR="0098530D" w:rsidRPr="00AB7CA1" w:rsidRDefault="0098530D" w:rsidP="00552502">
            <w:pPr>
              <w:pStyle w:val="Texto"/>
              <w:spacing w:before="40" w:after="40" w:line="222" w:lineRule="exact"/>
              <w:ind w:left="2016" w:hanging="1152"/>
            </w:pPr>
            <w:r w:rsidRPr="00AB7CA1">
              <w:rPr>
                <w:b/>
              </w:rPr>
              <w:t>16/CFF/N</w:t>
            </w:r>
            <w:r w:rsidRPr="00AB7CA1">
              <w:rPr>
                <w:b/>
              </w:rPr>
              <w:tab/>
            </w:r>
            <w:r w:rsidRPr="00AB7CA1">
              <w:t>Imposición de multas. Determinación de la multa aplicable por la omisión en el entero de diversas contribuciones y en la presentación de declaraciones.</w:t>
            </w:r>
          </w:p>
        </w:tc>
      </w:tr>
      <w:tr w:rsidR="0098530D" w:rsidRPr="00AB7CA1" w14:paraId="672BF88E" w14:textId="77777777" w:rsidTr="00552502">
        <w:tblPrEx>
          <w:tblCellMar>
            <w:top w:w="0" w:type="dxa"/>
            <w:bottom w:w="0" w:type="dxa"/>
          </w:tblCellMar>
        </w:tblPrEx>
        <w:trPr>
          <w:cantSplit/>
          <w:trHeight w:val="20"/>
        </w:trPr>
        <w:tc>
          <w:tcPr>
            <w:tcW w:w="5000" w:type="pct"/>
            <w:tcBorders>
              <w:top w:val="nil"/>
              <w:bottom w:val="nil"/>
            </w:tcBorders>
          </w:tcPr>
          <w:p w14:paraId="0AC5F3F0" w14:textId="77777777" w:rsidR="0098530D" w:rsidRPr="00AB7CA1" w:rsidRDefault="0098530D" w:rsidP="00552502">
            <w:pPr>
              <w:pStyle w:val="Texto"/>
              <w:spacing w:before="40" w:after="40" w:line="222" w:lineRule="exact"/>
              <w:ind w:left="2016" w:hanging="1152"/>
            </w:pPr>
            <w:r w:rsidRPr="00AB7CA1">
              <w:rPr>
                <w:b/>
              </w:rPr>
              <w:t>17/CFF/N</w:t>
            </w:r>
            <w:r w:rsidRPr="00AB7CA1">
              <w:rPr>
                <w:b/>
              </w:rPr>
              <w:tab/>
            </w:r>
            <w:r w:rsidRPr="00AB7CA1">
              <w:t>Supuestos de infracción relacionados con la obligación de presentar la información correspondiente sobre el pago, retención, acreditamiento y traslado del IVA en las operaciones con proveedores.</w:t>
            </w:r>
          </w:p>
        </w:tc>
      </w:tr>
      <w:tr w:rsidR="0098530D" w:rsidRPr="00AB7CA1" w14:paraId="09E3DB4C" w14:textId="77777777" w:rsidTr="00552502">
        <w:tblPrEx>
          <w:tblCellMar>
            <w:top w:w="0" w:type="dxa"/>
            <w:bottom w:w="0" w:type="dxa"/>
          </w:tblCellMar>
        </w:tblPrEx>
        <w:trPr>
          <w:cantSplit/>
          <w:trHeight w:val="20"/>
        </w:trPr>
        <w:tc>
          <w:tcPr>
            <w:tcW w:w="5000" w:type="pct"/>
            <w:tcBorders>
              <w:top w:val="nil"/>
              <w:bottom w:val="nil"/>
            </w:tcBorders>
          </w:tcPr>
          <w:p w14:paraId="1CEB4C89" w14:textId="77777777" w:rsidR="0098530D" w:rsidRPr="00AB7CA1" w:rsidRDefault="0098530D" w:rsidP="00552502">
            <w:pPr>
              <w:pStyle w:val="Texto"/>
              <w:spacing w:before="40" w:after="40" w:line="222" w:lineRule="exact"/>
              <w:ind w:left="2016" w:hanging="1152"/>
              <w:rPr>
                <w:b/>
              </w:rPr>
            </w:pPr>
            <w:r w:rsidRPr="00AB7CA1">
              <w:rPr>
                <w:b/>
              </w:rPr>
              <w:t>18/CFF/N</w:t>
            </w:r>
            <w:r w:rsidRPr="00AB7CA1">
              <w:rPr>
                <w:b/>
              </w:rPr>
              <w:tab/>
            </w:r>
            <w:r w:rsidRPr="00AB7CA1">
              <w:t>Recursos administrativos. Formulario múltiple de pago, cartas invitación o citatorio. No son resoluciones que afecten el interés jurídico de los contribuyentes.</w:t>
            </w:r>
          </w:p>
        </w:tc>
      </w:tr>
      <w:tr w:rsidR="0098530D" w:rsidRPr="00AB7CA1" w14:paraId="657D666F" w14:textId="77777777" w:rsidTr="00552502">
        <w:tblPrEx>
          <w:tblCellMar>
            <w:top w:w="0" w:type="dxa"/>
            <w:bottom w:w="0" w:type="dxa"/>
          </w:tblCellMar>
        </w:tblPrEx>
        <w:trPr>
          <w:cantSplit/>
          <w:trHeight w:val="20"/>
        </w:trPr>
        <w:tc>
          <w:tcPr>
            <w:tcW w:w="5000" w:type="pct"/>
            <w:tcBorders>
              <w:top w:val="nil"/>
              <w:bottom w:val="nil"/>
            </w:tcBorders>
          </w:tcPr>
          <w:p w14:paraId="05609694" w14:textId="77777777" w:rsidR="0098530D" w:rsidRPr="00AB7CA1" w:rsidRDefault="0098530D" w:rsidP="00552502">
            <w:pPr>
              <w:pStyle w:val="Texto"/>
              <w:spacing w:before="40" w:after="40" w:line="222" w:lineRule="exact"/>
              <w:ind w:left="2016" w:hanging="1152"/>
            </w:pPr>
            <w:r w:rsidRPr="00AB7CA1">
              <w:rPr>
                <w:b/>
              </w:rPr>
              <w:t>19/CFF/N</w:t>
            </w:r>
            <w:r w:rsidRPr="00AB7CA1">
              <w:rPr>
                <w:b/>
              </w:rPr>
              <w:tab/>
            </w:r>
            <w:r w:rsidRPr="00AB7CA1">
              <w:t>Remoción del depositario. El recurso de revocación es improcedente.</w:t>
            </w:r>
          </w:p>
        </w:tc>
      </w:tr>
      <w:tr w:rsidR="0098530D" w:rsidRPr="00AB7CA1" w14:paraId="343ED00F" w14:textId="77777777" w:rsidTr="00552502">
        <w:tblPrEx>
          <w:tblCellMar>
            <w:top w:w="0" w:type="dxa"/>
            <w:bottom w:w="0" w:type="dxa"/>
          </w:tblCellMar>
        </w:tblPrEx>
        <w:trPr>
          <w:cantSplit/>
          <w:trHeight w:val="20"/>
        </w:trPr>
        <w:tc>
          <w:tcPr>
            <w:tcW w:w="5000" w:type="pct"/>
            <w:tcBorders>
              <w:top w:val="nil"/>
              <w:bottom w:val="single" w:sz="6" w:space="0" w:color="auto"/>
            </w:tcBorders>
          </w:tcPr>
          <w:p w14:paraId="16CF92C8" w14:textId="77777777" w:rsidR="0098530D" w:rsidRPr="00AB7CA1" w:rsidRDefault="0098530D" w:rsidP="00552502">
            <w:pPr>
              <w:pStyle w:val="Texto"/>
              <w:spacing w:before="40" w:after="40" w:line="222" w:lineRule="exact"/>
              <w:ind w:left="2016" w:hanging="1152"/>
            </w:pPr>
            <w:r w:rsidRPr="00AB7CA1">
              <w:rPr>
                <w:b/>
              </w:rPr>
              <w:lastRenderedPageBreak/>
              <w:t>20/CFF/N</w:t>
            </w:r>
            <w:r w:rsidRPr="00AB7CA1">
              <w:rPr>
                <w:b/>
              </w:rPr>
              <w:tab/>
            </w:r>
            <w:r w:rsidRPr="00AB7CA1">
              <w:t>Notificación por correo certificado. Para su validez debe estarse a lo señalado en la Ley del Servicio Postal Mexicano.</w:t>
            </w:r>
          </w:p>
        </w:tc>
      </w:tr>
      <w:tr w:rsidR="0098530D" w:rsidRPr="00AB7CA1" w14:paraId="4011C5BD" w14:textId="77777777" w:rsidTr="00552502">
        <w:tblPrEx>
          <w:tblCellMar>
            <w:top w:w="0" w:type="dxa"/>
            <w:bottom w:w="0" w:type="dxa"/>
          </w:tblCellMar>
        </w:tblPrEx>
        <w:trPr>
          <w:cantSplit/>
          <w:trHeight w:val="20"/>
        </w:trPr>
        <w:tc>
          <w:tcPr>
            <w:tcW w:w="5000" w:type="pct"/>
            <w:tcBorders>
              <w:top w:val="single" w:sz="6" w:space="0" w:color="auto"/>
              <w:bottom w:val="nil"/>
            </w:tcBorders>
          </w:tcPr>
          <w:p w14:paraId="68C09B46" w14:textId="77777777" w:rsidR="0098530D" w:rsidRPr="00AB7CA1" w:rsidRDefault="0098530D" w:rsidP="00552502">
            <w:pPr>
              <w:pStyle w:val="Texto"/>
              <w:spacing w:before="40" w:after="40" w:line="219" w:lineRule="exact"/>
              <w:ind w:left="2016" w:hanging="1152"/>
            </w:pPr>
            <w:r w:rsidRPr="00AB7CA1">
              <w:rPr>
                <w:b/>
              </w:rPr>
              <w:t>21/CFF/N</w:t>
            </w:r>
            <w:r w:rsidRPr="00AB7CA1">
              <w:rPr>
                <w:b/>
              </w:rPr>
              <w:tab/>
            </w:r>
            <w:r w:rsidRPr="00AB7CA1">
              <w:t>Notificación en los términos del artículo 134, fracción I del CFF. Establece tres medios alternativos entre sí.</w:t>
            </w:r>
          </w:p>
        </w:tc>
      </w:tr>
      <w:tr w:rsidR="0098530D" w:rsidRPr="00AB7CA1" w14:paraId="7D71C420" w14:textId="77777777" w:rsidTr="00552502">
        <w:tblPrEx>
          <w:tblCellMar>
            <w:top w:w="0" w:type="dxa"/>
            <w:bottom w:w="0" w:type="dxa"/>
          </w:tblCellMar>
        </w:tblPrEx>
        <w:trPr>
          <w:cantSplit/>
          <w:trHeight w:val="20"/>
        </w:trPr>
        <w:tc>
          <w:tcPr>
            <w:tcW w:w="5000" w:type="pct"/>
            <w:tcBorders>
              <w:top w:val="nil"/>
              <w:bottom w:val="nil"/>
            </w:tcBorders>
          </w:tcPr>
          <w:p w14:paraId="04DBC06D" w14:textId="77777777" w:rsidR="0098530D" w:rsidRPr="00AB7CA1" w:rsidRDefault="0098530D" w:rsidP="00552502">
            <w:pPr>
              <w:pStyle w:val="Texto"/>
              <w:spacing w:before="40" w:after="40" w:line="219" w:lineRule="exact"/>
              <w:ind w:left="2016" w:hanging="1152"/>
            </w:pPr>
            <w:r w:rsidRPr="00AB7CA1">
              <w:rPr>
                <w:b/>
              </w:rPr>
              <w:t>22/CFF/N</w:t>
            </w:r>
            <w:r w:rsidRPr="00AB7CA1">
              <w:rPr>
                <w:b/>
              </w:rPr>
              <w:tab/>
            </w:r>
            <w:r w:rsidRPr="00AB7CA1">
              <w:t>Embargo en la vía administrativa. No es necesario volver a embargar el bien.</w:t>
            </w:r>
          </w:p>
        </w:tc>
      </w:tr>
      <w:tr w:rsidR="0098530D" w:rsidRPr="00AB7CA1" w14:paraId="4BA42702" w14:textId="77777777" w:rsidTr="00552502">
        <w:tblPrEx>
          <w:tblCellMar>
            <w:top w:w="0" w:type="dxa"/>
            <w:bottom w:w="0" w:type="dxa"/>
          </w:tblCellMar>
        </w:tblPrEx>
        <w:trPr>
          <w:cantSplit/>
          <w:trHeight w:val="20"/>
        </w:trPr>
        <w:tc>
          <w:tcPr>
            <w:tcW w:w="5000" w:type="pct"/>
            <w:tcBorders>
              <w:top w:val="nil"/>
              <w:bottom w:val="nil"/>
            </w:tcBorders>
          </w:tcPr>
          <w:p w14:paraId="107DF81D" w14:textId="77777777" w:rsidR="0098530D" w:rsidRPr="00AB7CA1" w:rsidRDefault="0098530D" w:rsidP="00552502">
            <w:pPr>
              <w:pStyle w:val="Texto"/>
              <w:spacing w:before="40" w:after="40" w:line="219" w:lineRule="exact"/>
              <w:ind w:left="2016" w:hanging="1152"/>
            </w:pPr>
            <w:r w:rsidRPr="00AB7CA1">
              <w:rPr>
                <w:b/>
              </w:rPr>
              <w:t>23/CFF/N</w:t>
            </w:r>
            <w:r w:rsidRPr="00AB7CA1">
              <w:rPr>
                <w:b/>
              </w:rPr>
              <w:tab/>
            </w:r>
            <w:r w:rsidRPr="00AB7CA1">
              <w:t>Suspensión del plazo</w:t>
            </w:r>
            <w:r w:rsidRPr="00AB7CA1">
              <w:rPr>
                <w:b/>
              </w:rPr>
              <w:t xml:space="preserve"> </w:t>
            </w:r>
            <w:r w:rsidRPr="00AB7CA1">
              <w:t>de caducidad derivado de la interposición de un recurso administrativo o juicio.</w:t>
            </w:r>
          </w:p>
        </w:tc>
      </w:tr>
      <w:tr w:rsidR="0098530D" w:rsidRPr="00AB7CA1" w14:paraId="108895DC" w14:textId="77777777" w:rsidTr="00552502">
        <w:tblPrEx>
          <w:tblCellMar>
            <w:top w:w="0" w:type="dxa"/>
            <w:bottom w:w="0" w:type="dxa"/>
          </w:tblCellMar>
        </w:tblPrEx>
        <w:trPr>
          <w:cantSplit/>
          <w:trHeight w:val="20"/>
        </w:trPr>
        <w:tc>
          <w:tcPr>
            <w:tcW w:w="5000" w:type="pct"/>
            <w:tcBorders>
              <w:top w:val="nil"/>
              <w:bottom w:val="nil"/>
            </w:tcBorders>
          </w:tcPr>
          <w:p w14:paraId="73795396" w14:textId="77777777" w:rsidR="0098530D" w:rsidRPr="00AB7CA1" w:rsidRDefault="0098530D" w:rsidP="00552502">
            <w:pPr>
              <w:pStyle w:val="Texto"/>
              <w:spacing w:before="40" w:after="40" w:line="219" w:lineRule="exact"/>
              <w:ind w:left="2016" w:hanging="1152"/>
            </w:pPr>
            <w:r w:rsidRPr="00AB7CA1">
              <w:rPr>
                <w:b/>
              </w:rPr>
              <w:t>24/CFF/N</w:t>
            </w:r>
            <w:r w:rsidRPr="00AB7CA1">
              <w:rPr>
                <w:b/>
              </w:rPr>
              <w:tab/>
            </w:r>
            <w:r w:rsidRPr="00AB7CA1">
              <w:t>Contribuciones retenidas. Cuando el retenedor, no la efectúe y asuma el adeudo o las pague, podrá obtener los beneficios legales propios de los contribuyentes.</w:t>
            </w:r>
          </w:p>
        </w:tc>
      </w:tr>
      <w:tr w:rsidR="0098530D" w:rsidRPr="00AB7CA1" w14:paraId="3ED770C7" w14:textId="77777777" w:rsidTr="00552502">
        <w:tblPrEx>
          <w:tblCellMar>
            <w:top w:w="0" w:type="dxa"/>
            <w:bottom w:w="0" w:type="dxa"/>
          </w:tblCellMar>
        </w:tblPrEx>
        <w:trPr>
          <w:cantSplit/>
          <w:trHeight w:val="20"/>
        </w:trPr>
        <w:tc>
          <w:tcPr>
            <w:tcW w:w="5000" w:type="pct"/>
            <w:tcBorders>
              <w:top w:val="nil"/>
              <w:bottom w:val="nil"/>
            </w:tcBorders>
          </w:tcPr>
          <w:p w14:paraId="62E9CFD8" w14:textId="77777777" w:rsidR="0098530D" w:rsidRPr="00AB7CA1" w:rsidRDefault="0098530D" w:rsidP="00552502">
            <w:pPr>
              <w:pStyle w:val="Texto"/>
              <w:spacing w:before="40" w:after="40" w:line="219" w:lineRule="exact"/>
              <w:ind w:left="2016" w:hanging="1152"/>
            </w:pPr>
            <w:r w:rsidRPr="00AB7CA1">
              <w:rPr>
                <w:b/>
              </w:rPr>
              <w:t>25/CFF/N</w:t>
            </w:r>
            <w:r w:rsidRPr="00AB7CA1">
              <w:rPr>
                <w:b/>
              </w:rPr>
              <w:tab/>
            </w:r>
            <w:r w:rsidRPr="00AB7CA1">
              <w:t>Devoluciones indebidas, al tener su origen en una contribución, conservan la naturaleza jurídica de esta.</w:t>
            </w:r>
          </w:p>
        </w:tc>
      </w:tr>
      <w:tr w:rsidR="0098530D" w:rsidRPr="00AB7CA1" w14:paraId="443652EB" w14:textId="77777777" w:rsidTr="00552502">
        <w:tblPrEx>
          <w:tblCellMar>
            <w:top w:w="0" w:type="dxa"/>
            <w:bottom w:w="0" w:type="dxa"/>
          </w:tblCellMar>
        </w:tblPrEx>
        <w:trPr>
          <w:cantSplit/>
          <w:trHeight w:val="20"/>
        </w:trPr>
        <w:tc>
          <w:tcPr>
            <w:tcW w:w="5000" w:type="pct"/>
            <w:tcBorders>
              <w:top w:val="nil"/>
              <w:bottom w:val="nil"/>
            </w:tcBorders>
          </w:tcPr>
          <w:p w14:paraId="6A0E5DEE" w14:textId="77777777" w:rsidR="0098530D" w:rsidRPr="00AB7CA1" w:rsidRDefault="0098530D" w:rsidP="00552502">
            <w:pPr>
              <w:pStyle w:val="Texto"/>
              <w:spacing w:before="40" w:after="40" w:line="219" w:lineRule="exact"/>
              <w:ind w:left="2016" w:hanging="1152"/>
            </w:pPr>
            <w:r w:rsidRPr="00AB7CA1">
              <w:rPr>
                <w:b/>
              </w:rPr>
              <w:t>26/CFF/N</w:t>
            </w:r>
            <w:r w:rsidRPr="00AB7CA1">
              <w:rPr>
                <w:b/>
              </w:rPr>
              <w:tab/>
            </w:r>
            <w:r w:rsidRPr="00AB7CA1">
              <w:t>Definiciones de saldo a favor y pago de lo indebido.</w:t>
            </w:r>
          </w:p>
        </w:tc>
      </w:tr>
      <w:tr w:rsidR="0098530D" w:rsidRPr="00AB7CA1" w14:paraId="779D1D21" w14:textId="77777777" w:rsidTr="00552502">
        <w:tblPrEx>
          <w:tblCellMar>
            <w:top w:w="0" w:type="dxa"/>
            <w:bottom w:w="0" w:type="dxa"/>
          </w:tblCellMar>
        </w:tblPrEx>
        <w:trPr>
          <w:cantSplit/>
          <w:trHeight w:val="20"/>
        </w:trPr>
        <w:tc>
          <w:tcPr>
            <w:tcW w:w="5000" w:type="pct"/>
            <w:tcBorders>
              <w:top w:val="nil"/>
            </w:tcBorders>
          </w:tcPr>
          <w:p w14:paraId="7317EAF1" w14:textId="77777777" w:rsidR="0098530D" w:rsidRPr="00AB7CA1" w:rsidRDefault="0098530D" w:rsidP="00552502">
            <w:pPr>
              <w:pStyle w:val="Texto"/>
              <w:spacing w:before="40" w:after="40" w:line="219" w:lineRule="exact"/>
              <w:ind w:left="2016" w:hanging="1152"/>
            </w:pPr>
            <w:r w:rsidRPr="00AB7CA1">
              <w:rPr>
                <w:b/>
              </w:rPr>
              <w:t>27/CFF/N</w:t>
            </w:r>
            <w:r w:rsidRPr="00AB7CA1">
              <w:tab/>
              <w:t>Acuerdo Conclusivo. Concepto de calificación de hechos u omisiones.</w:t>
            </w:r>
          </w:p>
        </w:tc>
      </w:tr>
      <w:tr w:rsidR="0098530D" w:rsidRPr="00AB7CA1" w14:paraId="23027E50" w14:textId="77777777" w:rsidTr="00552502">
        <w:tblPrEx>
          <w:tblCellMar>
            <w:top w:w="0" w:type="dxa"/>
            <w:bottom w:w="0" w:type="dxa"/>
          </w:tblCellMar>
        </w:tblPrEx>
        <w:trPr>
          <w:cantSplit/>
          <w:trHeight w:val="20"/>
        </w:trPr>
        <w:tc>
          <w:tcPr>
            <w:tcW w:w="5000" w:type="pct"/>
            <w:tcBorders>
              <w:bottom w:val="single" w:sz="6" w:space="0" w:color="auto"/>
            </w:tcBorders>
            <w:shd w:val="pct12" w:color="auto" w:fill="auto"/>
          </w:tcPr>
          <w:p w14:paraId="6173654F" w14:textId="77777777" w:rsidR="0098530D" w:rsidRPr="00AB7CA1" w:rsidRDefault="0098530D" w:rsidP="00552502">
            <w:pPr>
              <w:pStyle w:val="Texto"/>
              <w:spacing w:before="40" w:after="40" w:line="219" w:lineRule="exact"/>
              <w:ind w:left="864" w:hanging="432"/>
            </w:pPr>
            <w:r w:rsidRPr="00AB7CA1">
              <w:rPr>
                <w:b/>
              </w:rPr>
              <w:t>II.</w:t>
            </w:r>
            <w:r w:rsidRPr="00AB7CA1">
              <w:rPr>
                <w:b/>
              </w:rPr>
              <w:tab/>
              <w:t>Criterios de la Ley del ISR</w:t>
            </w:r>
          </w:p>
        </w:tc>
      </w:tr>
      <w:tr w:rsidR="0098530D" w:rsidRPr="00AB7CA1" w14:paraId="764ADA3D" w14:textId="77777777" w:rsidTr="00552502">
        <w:tblPrEx>
          <w:tblCellMar>
            <w:top w:w="0" w:type="dxa"/>
            <w:bottom w:w="0" w:type="dxa"/>
          </w:tblCellMar>
        </w:tblPrEx>
        <w:trPr>
          <w:cantSplit/>
          <w:trHeight w:val="20"/>
        </w:trPr>
        <w:tc>
          <w:tcPr>
            <w:tcW w:w="5000" w:type="pct"/>
            <w:tcBorders>
              <w:bottom w:val="nil"/>
            </w:tcBorders>
          </w:tcPr>
          <w:p w14:paraId="31B48B25" w14:textId="77777777" w:rsidR="0098530D" w:rsidRPr="00AB7CA1" w:rsidRDefault="0098530D" w:rsidP="00552502">
            <w:pPr>
              <w:pStyle w:val="Texto"/>
              <w:spacing w:before="40" w:after="40" w:line="219" w:lineRule="exact"/>
              <w:ind w:left="2016" w:hanging="1152"/>
            </w:pPr>
            <w:r w:rsidRPr="00AB7CA1">
              <w:rPr>
                <w:b/>
              </w:rPr>
              <w:t>1/ISR/N</w:t>
            </w:r>
            <w:r w:rsidRPr="00AB7CA1">
              <w:rPr>
                <w:b/>
              </w:rPr>
              <w:tab/>
            </w:r>
            <w:r w:rsidRPr="00AB7CA1">
              <w:t>Establecimiento permanente. Los ejemplos que pueden considerarse constitutivos de establecimiento permanente deben analizarse de conformidad con las características esenciales de dicho concepto.</w:t>
            </w:r>
          </w:p>
        </w:tc>
      </w:tr>
      <w:tr w:rsidR="0098530D" w:rsidRPr="00AB7CA1" w14:paraId="0207840F" w14:textId="77777777" w:rsidTr="00552502">
        <w:tblPrEx>
          <w:tblCellMar>
            <w:top w:w="0" w:type="dxa"/>
            <w:bottom w:w="0" w:type="dxa"/>
          </w:tblCellMar>
        </w:tblPrEx>
        <w:trPr>
          <w:cantSplit/>
          <w:trHeight w:val="20"/>
        </w:trPr>
        <w:tc>
          <w:tcPr>
            <w:tcW w:w="5000" w:type="pct"/>
            <w:tcBorders>
              <w:top w:val="nil"/>
              <w:bottom w:val="nil"/>
            </w:tcBorders>
          </w:tcPr>
          <w:p w14:paraId="30A34129" w14:textId="77777777" w:rsidR="0098530D" w:rsidRPr="00AB7CA1" w:rsidRDefault="0098530D" w:rsidP="00552502">
            <w:pPr>
              <w:pStyle w:val="Texto"/>
              <w:spacing w:before="40" w:after="40" w:line="219" w:lineRule="exact"/>
              <w:ind w:left="2016" w:hanging="1152"/>
            </w:pPr>
            <w:r w:rsidRPr="00AB7CA1">
              <w:rPr>
                <w:b/>
              </w:rPr>
              <w:t>2/ISR/N</w:t>
            </w:r>
            <w:r w:rsidRPr="00AB7CA1">
              <w:rPr>
                <w:b/>
              </w:rPr>
              <w:tab/>
            </w:r>
            <w:r w:rsidRPr="00AB7CA1">
              <w:t>Beneficios de los tratados para evitar la doble tributación. Es necesario el cumplimiento de las disposiciones de procedimiento para su aplicación.</w:t>
            </w:r>
          </w:p>
        </w:tc>
      </w:tr>
      <w:tr w:rsidR="0098530D" w:rsidRPr="00AB7CA1" w14:paraId="4A20EA09" w14:textId="77777777" w:rsidTr="00552502">
        <w:tblPrEx>
          <w:tblCellMar>
            <w:top w:w="0" w:type="dxa"/>
            <w:bottom w:w="0" w:type="dxa"/>
          </w:tblCellMar>
        </w:tblPrEx>
        <w:trPr>
          <w:cantSplit/>
          <w:trHeight w:val="20"/>
        </w:trPr>
        <w:tc>
          <w:tcPr>
            <w:tcW w:w="5000" w:type="pct"/>
            <w:tcBorders>
              <w:top w:val="nil"/>
              <w:bottom w:val="nil"/>
            </w:tcBorders>
          </w:tcPr>
          <w:p w14:paraId="7561F5D5" w14:textId="77777777" w:rsidR="0098530D" w:rsidRPr="00AB7CA1" w:rsidRDefault="0098530D" w:rsidP="00552502">
            <w:pPr>
              <w:pStyle w:val="Texto"/>
              <w:spacing w:before="40" w:after="40" w:line="219" w:lineRule="exact"/>
              <w:ind w:left="2016" w:hanging="1152"/>
            </w:pPr>
            <w:r w:rsidRPr="00AB7CA1">
              <w:rPr>
                <w:b/>
              </w:rPr>
              <w:t>3/ISR/N</w:t>
            </w:r>
            <w:r w:rsidRPr="00AB7CA1">
              <w:rPr>
                <w:b/>
              </w:rPr>
              <w:tab/>
            </w:r>
            <w:r w:rsidRPr="00AB7CA1">
              <w:t>Beneficios del tratado para evitar la doble tributación entre México y Barbados. Interpretación de los textos en español e inglés.</w:t>
            </w:r>
          </w:p>
        </w:tc>
      </w:tr>
      <w:tr w:rsidR="0098530D" w:rsidRPr="00AB7CA1" w14:paraId="229BB6E1" w14:textId="77777777" w:rsidTr="00552502">
        <w:tblPrEx>
          <w:tblCellMar>
            <w:top w:w="0" w:type="dxa"/>
            <w:bottom w:w="0" w:type="dxa"/>
          </w:tblCellMar>
        </w:tblPrEx>
        <w:trPr>
          <w:cantSplit/>
          <w:trHeight w:val="20"/>
        </w:trPr>
        <w:tc>
          <w:tcPr>
            <w:tcW w:w="5000" w:type="pct"/>
            <w:tcBorders>
              <w:top w:val="nil"/>
              <w:bottom w:val="nil"/>
            </w:tcBorders>
          </w:tcPr>
          <w:p w14:paraId="6BBF3D33" w14:textId="77777777" w:rsidR="0098530D" w:rsidRPr="00AB7CA1" w:rsidRDefault="0098530D" w:rsidP="00552502">
            <w:pPr>
              <w:pStyle w:val="Texto"/>
              <w:spacing w:before="40" w:after="40" w:line="219" w:lineRule="exact"/>
              <w:ind w:left="2016" w:hanging="1152"/>
            </w:pPr>
            <w:r w:rsidRPr="00AB7CA1">
              <w:rPr>
                <w:b/>
              </w:rPr>
              <w:t>4/ISR/N</w:t>
            </w:r>
            <w:r w:rsidRPr="00AB7CA1">
              <w:rPr>
                <w:b/>
              </w:rPr>
              <w:tab/>
            </w:r>
            <w:r w:rsidRPr="00AB7CA1">
              <w:t>Orden en que se efectuará el acreditamiento del ISR pagado en el extranjero.</w:t>
            </w:r>
          </w:p>
        </w:tc>
      </w:tr>
      <w:tr w:rsidR="0098530D" w:rsidRPr="00AB7CA1" w14:paraId="4CB2BAC9" w14:textId="77777777" w:rsidTr="00552502">
        <w:tblPrEx>
          <w:tblCellMar>
            <w:top w:w="0" w:type="dxa"/>
            <w:bottom w:w="0" w:type="dxa"/>
          </w:tblCellMar>
        </w:tblPrEx>
        <w:trPr>
          <w:cantSplit/>
          <w:trHeight w:val="20"/>
        </w:trPr>
        <w:tc>
          <w:tcPr>
            <w:tcW w:w="5000" w:type="pct"/>
            <w:tcBorders>
              <w:top w:val="nil"/>
              <w:bottom w:val="nil"/>
            </w:tcBorders>
          </w:tcPr>
          <w:p w14:paraId="4AC39833" w14:textId="77777777" w:rsidR="0098530D" w:rsidRPr="00AB7CA1" w:rsidRDefault="0098530D" w:rsidP="00552502">
            <w:pPr>
              <w:pStyle w:val="Texto"/>
              <w:spacing w:before="40" w:after="40" w:line="219" w:lineRule="exact"/>
              <w:ind w:left="2016" w:hanging="1152"/>
            </w:pPr>
            <w:r w:rsidRPr="00AB7CA1">
              <w:rPr>
                <w:b/>
              </w:rPr>
              <w:t>5/ISR/N</w:t>
            </w:r>
            <w:r w:rsidRPr="00AB7CA1">
              <w:rPr>
                <w:b/>
              </w:rPr>
              <w:tab/>
            </w:r>
            <w:r w:rsidRPr="00AB7CA1">
              <w:t>Acreditamiento del ISR pagado en el extranjero. Los contribuyentes sólo podrán acreditar el excedente cuando el procedimiento amistoso concluya con un acuerdo y lo acepten.</w:t>
            </w:r>
          </w:p>
        </w:tc>
      </w:tr>
      <w:tr w:rsidR="0098530D" w:rsidRPr="00AB7CA1" w14:paraId="4F258A3A" w14:textId="77777777" w:rsidTr="00552502">
        <w:tblPrEx>
          <w:tblCellMar>
            <w:top w:w="0" w:type="dxa"/>
            <w:bottom w:w="0" w:type="dxa"/>
          </w:tblCellMar>
        </w:tblPrEx>
        <w:trPr>
          <w:cantSplit/>
          <w:trHeight w:val="20"/>
        </w:trPr>
        <w:tc>
          <w:tcPr>
            <w:tcW w:w="5000" w:type="pct"/>
            <w:tcBorders>
              <w:top w:val="nil"/>
              <w:bottom w:val="nil"/>
            </w:tcBorders>
          </w:tcPr>
          <w:p w14:paraId="7FB49E30" w14:textId="77777777" w:rsidR="0098530D" w:rsidRPr="00AB7CA1" w:rsidRDefault="0098530D" w:rsidP="00552502">
            <w:pPr>
              <w:pStyle w:val="Texto"/>
              <w:spacing w:before="40" w:after="40" w:line="219" w:lineRule="exact"/>
              <w:ind w:left="2016" w:hanging="1152"/>
            </w:pPr>
            <w:r w:rsidRPr="00AB7CA1">
              <w:rPr>
                <w:b/>
              </w:rPr>
              <w:t>6/ISR/N</w:t>
            </w:r>
            <w:r w:rsidRPr="00AB7CA1">
              <w:rPr>
                <w:b/>
              </w:rPr>
              <w:tab/>
            </w:r>
            <w:r w:rsidRPr="00AB7CA1">
              <w:t>Devolución de cantidades realizada por la autoridad fiscal. Si se pagan intereses los mismos deben acumularse para efectos del ISR.</w:t>
            </w:r>
          </w:p>
        </w:tc>
      </w:tr>
      <w:tr w:rsidR="0098530D" w:rsidRPr="00AB7CA1" w14:paraId="776CA635" w14:textId="77777777" w:rsidTr="00552502">
        <w:tblPrEx>
          <w:tblCellMar>
            <w:top w:w="0" w:type="dxa"/>
            <w:bottom w:w="0" w:type="dxa"/>
          </w:tblCellMar>
        </w:tblPrEx>
        <w:trPr>
          <w:cantSplit/>
          <w:trHeight w:val="20"/>
        </w:trPr>
        <w:tc>
          <w:tcPr>
            <w:tcW w:w="5000" w:type="pct"/>
            <w:tcBorders>
              <w:top w:val="nil"/>
              <w:bottom w:val="nil"/>
            </w:tcBorders>
          </w:tcPr>
          <w:p w14:paraId="6E34B766" w14:textId="77777777" w:rsidR="0098530D" w:rsidRPr="00AB7CA1" w:rsidRDefault="0098530D" w:rsidP="00552502">
            <w:pPr>
              <w:pStyle w:val="Texto"/>
              <w:spacing w:before="40" w:after="40" w:line="219" w:lineRule="exact"/>
              <w:ind w:left="2016" w:hanging="1152"/>
            </w:pPr>
            <w:r w:rsidRPr="00AB7CA1">
              <w:rPr>
                <w:b/>
              </w:rPr>
              <w:t>7/ISR/N</w:t>
            </w:r>
            <w:r w:rsidRPr="00AB7CA1">
              <w:rPr>
                <w:b/>
              </w:rPr>
              <w:tab/>
            </w:r>
            <w:r w:rsidRPr="00AB7CA1">
              <w:t>Ganancia en la enajenación de certificados bursátiles fiduciarios, colocados entre el gran público inversionista. Se debe considerar interés.</w:t>
            </w:r>
          </w:p>
        </w:tc>
      </w:tr>
      <w:tr w:rsidR="0098530D" w:rsidRPr="00AB7CA1" w14:paraId="6217405A" w14:textId="77777777" w:rsidTr="00552502">
        <w:tblPrEx>
          <w:tblCellMar>
            <w:top w:w="0" w:type="dxa"/>
            <w:bottom w:w="0" w:type="dxa"/>
          </w:tblCellMar>
        </w:tblPrEx>
        <w:trPr>
          <w:cantSplit/>
          <w:trHeight w:val="20"/>
        </w:trPr>
        <w:tc>
          <w:tcPr>
            <w:tcW w:w="5000" w:type="pct"/>
            <w:tcBorders>
              <w:top w:val="nil"/>
              <w:bottom w:val="nil"/>
            </w:tcBorders>
          </w:tcPr>
          <w:p w14:paraId="1E313DA9" w14:textId="77777777" w:rsidR="0098530D" w:rsidRPr="00AB7CA1" w:rsidRDefault="0098530D" w:rsidP="00552502">
            <w:pPr>
              <w:pStyle w:val="Texto"/>
              <w:spacing w:before="40" w:after="40" w:line="219" w:lineRule="exact"/>
              <w:ind w:left="2016" w:hanging="1152"/>
            </w:pPr>
            <w:r w:rsidRPr="00AB7CA1">
              <w:rPr>
                <w:b/>
              </w:rPr>
              <w:t>8/ISR/N</w:t>
            </w:r>
            <w:r w:rsidRPr="00AB7CA1">
              <w:rPr>
                <w:b/>
              </w:rPr>
              <w:tab/>
            </w:r>
            <w:r w:rsidRPr="00AB7CA1">
              <w:t>ISR por dividendos o utilidades. Casos en los cuales las personas morales no deberán calcular el impuesto por los montos que se consideran dividendos o utilidades distribuidos.</w:t>
            </w:r>
          </w:p>
        </w:tc>
      </w:tr>
      <w:tr w:rsidR="0098530D" w:rsidRPr="00AB7CA1" w14:paraId="4F44C5E9" w14:textId="77777777" w:rsidTr="00552502">
        <w:tblPrEx>
          <w:tblCellMar>
            <w:top w:w="0" w:type="dxa"/>
            <w:bottom w:w="0" w:type="dxa"/>
          </w:tblCellMar>
        </w:tblPrEx>
        <w:trPr>
          <w:cantSplit/>
          <w:trHeight w:val="20"/>
        </w:trPr>
        <w:tc>
          <w:tcPr>
            <w:tcW w:w="5000" w:type="pct"/>
            <w:tcBorders>
              <w:top w:val="nil"/>
              <w:bottom w:val="nil"/>
            </w:tcBorders>
          </w:tcPr>
          <w:p w14:paraId="310CB33C" w14:textId="77777777" w:rsidR="0098530D" w:rsidRPr="00AB7CA1" w:rsidRDefault="0098530D" w:rsidP="00552502">
            <w:pPr>
              <w:pStyle w:val="Texto"/>
              <w:spacing w:before="40" w:after="40" w:line="219" w:lineRule="exact"/>
              <w:ind w:left="2016" w:hanging="1152"/>
            </w:pPr>
            <w:r w:rsidRPr="00AB7CA1">
              <w:rPr>
                <w:b/>
              </w:rPr>
              <w:t>9/ISR/N</w:t>
            </w:r>
            <w:r w:rsidRPr="00AB7CA1">
              <w:rPr>
                <w:b/>
              </w:rPr>
              <w:tab/>
            </w:r>
            <w:r w:rsidRPr="00AB7CA1">
              <w:t>ISR por dividendos o utilidades. Orden en el que se efectuará su acreditamiento.</w:t>
            </w:r>
          </w:p>
        </w:tc>
      </w:tr>
      <w:tr w:rsidR="0098530D" w:rsidRPr="00AB7CA1" w14:paraId="0F1E31F0" w14:textId="77777777" w:rsidTr="00552502">
        <w:tblPrEx>
          <w:tblCellMar>
            <w:top w:w="0" w:type="dxa"/>
            <w:bottom w:w="0" w:type="dxa"/>
          </w:tblCellMar>
        </w:tblPrEx>
        <w:trPr>
          <w:cantSplit/>
          <w:trHeight w:val="20"/>
        </w:trPr>
        <w:tc>
          <w:tcPr>
            <w:tcW w:w="5000" w:type="pct"/>
            <w:tcBorders>
              <w:top w:val="nil"/>
              <w:bottom w:val="nil"/>
            </w:tcBorders>
          </w:tcPr>
          <w:p w14:paraId="1C694F91" w14:textId="77777777" w:rsidR="0098530D" w:rsidRPr="00AB7CA1" w:rsidRDefault="0098530D" w:rsidP="00552502">
            <w:pPr>
              <w:pStyle w:val="Texto"/>
              <w:spacing w:before="40" w:after="40" w:line="219" w:lineRule="exact"/>
              <w:ind w:left="2016" w:hanging="1152"/>
            </w:pPr>
            <w:r w:rsidRPr="00AB7CA1">
              <w:rPr>
                <w:b/>
              </w:rPr>
              <w:t>10/ISR/N</w:t>
            </w:r>
            <w:r w:rsidRPr="00AB7CA1">
              <w:rPr>
                <w:b/>
              </w:rPr>
              <w:tab/>
            </w:r>
            <w:r w:rsidRPr="00AB7CA1">
              <w:t>Declaración del ejercicio del ISR. La fiduciaria no está obligada a presentarla por las actividades realizadas a través de un fideicomiso.</w:t>
            </w:r>
          </w:p>
        </w:tc>
      </w:tr>
      <w:tr w:rsidR="0098530D" w:rsidRPr="00AB7CA1" w14:paraId="6FAC0700" w14:textId="77777777" w:rsidTr="00552502">
        <w:tblPrEx>
          <w:tblCellMar>
            <w:top w:w="0" w:type="dxa"/>
            <w:bottom w:w="0" w:type="dxa"/>
          </w:tblCellMar>
        </w:tblPrEx>
        <w:trPr>
          <w:cantSplit/>
          <w:trHeight w:val="20"/>
        </w:trPr>
        <w:tc>
          <w:tcPr>
            <w:tcW w:w="5000" w:type="pct"/>
            <w:tcBorders>
              <w:top w:val="nil"/>
              <w:bottom w:val="nil"/>
            </w:tcBorders>
          </w:tcPr>
          <w:p w14:paraId="146E89E0" w14:textId="77777777" w:rsidR="0098530D" w:rsidRPr="00AB7CA1" w:rsidRDefault="0098530D" w:rsidP="00552502">
            <w:pPr>
              <w:pStyle w:val="Texto"/>
              <w:spacing w:before="40" w:after="40" w:line="219" w:lineRule="exact"/>
              <w:ind w:left="2016" w:hanging="1152"/>
            </w:pPr>
            <w:r w:rsidRPr="00AB7CA1">
              <w:rPr>
                <w:b/>
              </w:rPr>
              <w:t>11/ISR/N</w:t>
            </w:r>
            <w:r w:rsidRPr="00AB7CA1">
              <w:rPr>
                <w:b/>
              </w:rPr>
              <w:tab/>
            </w:r>
            <w:r w:rsidRPr="00AB7CA1">
              <w:t>Determinación del reparto adicional de participación de utilidades a los trabajadores de las empresas. Las autoridades fiscales no están obligadas a verificar la existencia de relación laboral alguna.</w:t>
            </w:r>
          </w:p>
        </w:tc>
      </w:tr>
      <w:tr w:rsidR="0098530D" w:rsidRPr="00AB7CA1" w14:paraId="44608331" w14:textId="77777777" w:rsidTr="00552502">
        <w:tblPrEx>
          <w:tblCellMar>
            <w:top w:w="0" w:type="dxa"/>
            <w:bottom w:w="0" w:type="dxa"/>
          </w:tblCellMar>
        </w:tblPrEx>
        <w:trPr>
          <w:cantSplit/>
          <w:trHeight w:val="20"/>
        </w:trPr>
        <w:tc>
          <w:tcPr>
            <w:tcW w:w="5000" w:type="pct"/>
            <w:tcBorders>
              <w:top w:val="nil"/>
              <w:bottom w:val="nil"/>
            </w:tcBorders>
          </w:tcPr>
          <w:p w14:paraId="359586C8" w14:textId="77777777" w:rsidR="0098530D" w:rsidRPr="00AB7CA1" w:rsidRDefault="0098530D" w:rsidP="00552502">
            <w:pPr>
              <w:pStyle w:val="Texto"/>
              <w:spacing w:before="40" w:after="40" w:line="219" w:lineRule="exact"/>
              <w:ind w:left="2016" w:hanging="1152"/>
            </w:pPr>
            <w:r w:rsidRPr="00AB7CA1">
              <w:rPr>
                <w:b/>
              </w:rPr>
              <w:t>12/ISR/N</w:t>
            </w:r>
            <w:r w:rsidRPr="00AB7CA1">
              <w:rPr>
                <w:b/>
              </w:rPr>
              <w:tab/>
            </w:r>
            <w:r w:rsidRPr="00AB7CA1">
              <w:t>Ingresos acumulables por la prestación del servicio de emisión de vales o monederos electrónicos.</w:t>
            </w:r>
          </w:p>
        </w:tc>
      </w:tr>
      <w:tr w:rsidR="0098530D" w:rsidRPr="00AB7CA1" w14:paraId="201F17A8" w14:textId="77777777" w:rsidTr="00552502">
        <w:tblPrEx>
          <w:tblCellMar>
            <w:top w:w="0" w:type="dxa"/>
            <w:bottom w:w="0" w:type="dxa"/>
          </w:tblCellMar>
        </w:tblPrEx>
        <w:trPr>
          <w:cantSplit/>
          <w:trHeight w:val="20"/>
        </w:trPr>
        <w:tc>
          <w:tcPr>
            <w:tcW w:w="5000" w:type="pct"/>
            <w:tcBorders>
              <w:top w:val="nil"/>
              <w:bottom w:val="nil"/>
            </w:tcBorders>
          </w:tcPr>
          <w:p w14:paraId="4595D527" w14:textId="77777777" w:rsidR="0098530D" w:rsidRPr="00AB7CA1" w:rsidRDefault="0098530D" w:rsidP="00552502">
            <w:pPr>
              <w:pStyle w:val="Texto"/>
              <w:spacing w:before="40" w:after="40" w:line="219" w:lineRule="exact"/>
              <w:ind w:left="2016" w:hanging="1152"/>
            </w:pPr>
            <w:r w:rsidRPr="00AB7CA1">
              <w:rPr>
                <w:b/>
              </w:rPr>
              <w:t>13/ISR/N</w:t>
            </w:r>
            <w:r w:rsidRPr="00AB7CA1">
              <w:rPr>
                <w:b/>
              </w:rPr>
              <w:tab/>
            </w:r>
            <w:r w:rsidRPr="00AB7CA1">
              <w:t>Autorización para enajenar acciones a costo fiscal. No se actualiza el supuesto para otorgarla tratándose de aquéllas que no tengan costo promedio por acción.</w:t>
            </w:r>
          </w:p>
        </w:tc>
      </w:tr>
      <w:tr w:rsidR="0098530D" w:rsidRPr="00AB7CA1" w14:paraId="6CCE98AA" w14:textId="77777777" w:rsidTr="00552502">
        <w:tblPrEx>
          <w:tblCellMar>
            <w:top w:w="0" w:type="dxa"/>
            <w:bottom w:w="0" w:type="dxa"/>
          </w:tblCellMar>
        </w:tblPrEx>
        <w:trPr>
          <w:cantSplit/>
          <w:trHeight w:val="20"/>
        </w:trPr>
        <w:tc>
          <w:tcPr>
            <w:tcW w:w="5000" w:type="pct"/>
            <w:tcBorders>
              <w:top w:val="nil"/>
              <w:bottom w:val="nil"/>
            </w:tcBorders>
          </w:tcPr>
          <w:p w14:paraId="63DB3D61" w14:textId="77777777" w:rsidR="0098530D" w:rsidRPr="00AB7CA1" w:rsidRDefault="0098530D" w:rsidP="00552502">
            <w:pPr>
              <w:pStyle w:val="Texto"/>
              <w:spacing w:before="40" w:after="40" w:line="219" w:lineRule="exact"/>
              <w:ind w:left="2016" w:hanging="1152"/>
            </w:pPr>
            <w:r w:rsidRPr="00AB7CA1">
              <w:rPr>
                <w:b/>
              </w:rPr>
              <w:t>14/ISR/N</w:t>
            </w:r>
            <w:r w:rsidRPr="00AB7CA1">
              <w:rPr>
                <w:b/>
              </w:rPr>
              <w:tab/>
            </w:r>
            <w:r w:rsidRPr="00AB7CA1">
              <w:t>Envases de bebidas embotelladas. Supuestos en los que se deben considerar activo fijo o mercancía.</w:t>
            </w:r>
          </w:p>
        </w:tc>
      </w:tr>
      <w:tr w:rsidR="0098530D" w:rsidRPr="00AB7CA1" w14:paraId="068CCA5D" w14:textId="77777777" w:rsidTr="00552502">
        <w:tblPrEx>
          <w:tblCellMar>
            <w:top w:w="0" w:type="dxa"/>
            <w:bottom w:w="0" w:type="dxa"/>
          </w:tblCellMar>
        </w:tblPrEx>
        <w:trPr>
          <w:cantSplit/>
          <w:trHeight w:val="20"/>
        </w:trPr>
        <w:tc>
          <w:tcPr>
            <w:tcW w:w="5000" w:type="pct"/>
            <w:tcBorders>
              <w:top w:val="nil"/>
              <w:bottom w:val="nil"/>
            </w:tcBorders>
          </w:tcPr>
          <w:p w14:paraId="4CC39736" w14:textId="77777777" w:rsidR="0098530D" w:rsidRPr="00AB7CA1" w:rsidRDefault="0098530D" w:rsidP="00552502">
            <w:pPr>
              <w:pStyle w:val="Texto"/>
              <w:spacing w:before="40" w:after="40" w:line="219" w:lineRule="exact"/>
              <w:ind w:left="2016" w:hanging="1152"/>
            </w:pPr>
            <w:r w:rsidRPr="00AB7CA1">
              <w:rPr>
                <w:b/>
              </w:rPr>
              <w:t>15/ISR/N</w:t>
            </w:r>
            <w:r w:rsidRPr="00AB7CA1">
              <w:rPr>
                <w:b/>
              </w:rPr>
              <w:tab/>
            </w:r>
            <w:r w:rsidRPr="00AB7CA1">
              <w:t>Deducción de pérdidas por caso fortuito o fuerza mayor.</w:t>
            </w:r>
          </w:p>
        </w:tc>
      </w:tr>
      <w:tr w:rsidR="0098530D" w:rsidRPr="00AB7CA1" w14:paraId="31EAE0CD" w14:textId="77777777" w:rsidTr="00552502">
        <w:tblPrEx>
          <w:tblCellMar>
            <w:top w:w="0" w:type="dxa"/>
            <w:bottom w:w="0" w:type="dxa"/>
          </w:tblCellMar>
        </w:tblPrEx>
        <w:trPr>
          <w:cantSplit/>
          <w:trHeight w:val="20"/>
        </w:trPr>
        <w:tc>
          <w:tcPr>
            <w:tcW w:w="5000" w:type="pct"/>
            <w:tcBorders>
              <w:top w:val="nil"/>
              <w:bottom w:val="nil"/>
            </w:tcBorders>
          </w:tcPr>
          <w:p w14:paraId="623BF9CC" w14:textId="77777777" w:rsidR="0098530D" w:rsidRPr="00AB7CA1" w:rsidRDefault="0098530D" w:rsidP="00552502">
            <w:pPr>
              <w:pStyle w:val="Texto"/>
              <w:spacing w:before="40" w:after="40" w:line="219" w:lineRule="exact"/>
              <w:ind w:left="2016" w:hanging="1152"/>
            </w:pPr>
            <w:r w:rsidRPr="00AB7CA1">
              <w:rPr>
                <w:b/>
              </w:rPr>
              <w:t>16/ISR/N</w:t>
            </w:r>
            <w:r w:rsidRPr="00AB7CA1">
              <w:rPr>
                <w:b/>
              </w:rPr>
              <w:tab/>
            </w:r>
            <w:r w:rsidRPr="00AB7CA1">
              <w:t>Intereses devengados. Supuesto en el que se acredita el requisito de la deducibilidad.</w:t>
            </w:r>
          </w:p>
        </w:tc>
      </w:tr>
      <w:tr w:rsidR="0098530D" w:rsidRPr="00AB7CA1" w14:paraId="2712BEE3" w14:textId="77777777" w:rsidTr="00552502">
        <w:tblPrEx>
          <w:tblCellMar>
            <w:top w:w="0" w:type="dxa"/>
            <w:bottom w:w="0" w:type="dxa"/>
          </w:tblCellMar>
        </w:tblPrEx>
        <w:trPr>
          <w:cantSplit/>
          <w:trHeight w:val="20"/>
        </w:trPr>
        <w:tc>
          <w:tcPr>
            <w:tcW w:w="5000" w:type="pct"/>
            <w:tcBorders>
              <w:top w:val="nil"/>
              <w:bottom w:val="nil"/>
            </w:tcBorders>
          </w:tcPr>
          <w:p w14:paraId="1ABEDC36" w14:textId="77777777" w:rsidR="0098530D" w:rsidRPr="00AB7CA1" w:rsidRDefault="0098530D" w:rsidP="00552502">
            <w:pPr>
              <w:pStyle w:val="Texto"/>
              <w:spacing w:before="40" w:after="40" w:line="219" w:lineRule="exact"/>
              <w:ind w:left="2016" w:hanging="1152"/>
            </w:pPr>
            <w:r w:rsidRPr="00AB7CA1">
              <w:rPr>
                <w:b/>
              </w:rPr>
              <w:lastRenderedPageBreak/>
              <w:t>17/ISR/N</w:t>
            </w:r>
            <w:r w:rsidRPr="00AB7CA1">
              <w:rPr>
                <w:b/>
              </w:rPr>
              <w:tab/>
            </w:r>
            <w:r w:rsidRPr="00AB7CA1">
              <w:t>Actos u operaciones prohibidos por la Ley Federal para la Prevención e Identificación de Operaciones con Recursos de Procedencia Ilícita. La realización de dichos actos u operaciones implica la no deducción de las erogaciones relacionadas con aquéllos.</w:t>
            </w:r>
          </w:p>
        </w:tc>
      </w:tr>
      <w:tr w:rsidR="0098530D" w:rsidRPr="00AB7CA1" w14:paraId="34360B59" w14:textId="77777777" w:rsidTr="00552502">
        <w:tblPrEx>
          <w:tblCellMar>
            <w:top w:w="0" w:type="dxa"/>
            <w:bottom w:w="0" w:type="dxa"/>
          </w:tblCellMar>
        </w:tblPrEx>
        <w:trPr>
          <w:cantSplit/>
          <w:trHeight w:val="20"/>
        </w:trPr>
        <w:tc>
          <w:tcPr>
            <w:tcW w:w="5000" w:type="pct"/>
            <w:tcBorders>
              <w:top w:val="nil"/>
              <w:bottom w:val="nil"/>
            </w:tcBorders>
          </w:tcPr>
          <w:p w14:paraId="1531D7F2" w14:textId="77777777" w:rsidR="0098530D" w:rsidRPr="00AB7CA1" w:rsidRDefault="0098530D" w:rsidP="00552502">
            <w:pPr>
              <w:pStyle w:val="Texto"/>
              <w:spacing w:before="40" w:after="40" w:line="219" w:lineRule="exact"/>
              <w:ind w:left="2016" w:hanging="1152"/>
            </w:pPr>
            <w:r w:rsidRPr="00AB7CA1">
              <w:rPr>
                <w:b/>
              </w:rPr>
              <w:t>18/ISR/N</w:t>
            </w:r>
            <w:r w:rsidRPr="00AB7CA1">
              <w:rPr>
                <w:b/>
              </w:rPr>
              <w:tab/>
            </w:r>
            <w:r w:rsidRPr="00AB7CA1">
              <w:t>Personas morales que concentren sus transacciones de tesorería. Excepción al requisito de deducibilidad previsto para la procedencia del acreditamiento del IVA.</w:t>
            </w:r>
          </w:p>
        </w:tc>
      </w:tr>
      <w:tr w:rsidR="0098530D" w:rsidRPr="00AB7CA1" w14:paraId="6E9DEFAA" w14:textId="77777777" w:rsidTr="00552502">
        <w:tblPrEx>
          <w:tblCellMar>
            <w:top w:w="0" w:type="dxa"/>
            <w:bottom w:w="0" w:type="dxa"/>
          </w:tblCellMar>
        </w:tblPrEx>
        <w:trPr>
          <w:cantSplit/>
          <w:trHeight w:val="20"/>
        </w:trPr>
        <w:tc>
          <w:tcPr>
            <w:tcW w:w="5000" w:type="pct"/>
            <w:tcBorders>
              <w:top w:val="nil"/>
              <w:bottom w:val="single" w:sz="6" w:space="0" w:color="auto"/>
            </w:tcBorders>
          </w:tcPr>
          <w:p w14:paraId="185E2429" w14:textId="77777777" w:rsidR="0098530D" w:rsidRPr="00AB7CA1" w:rsidRDefault="0098530D" w:rsidP="00552502">
            <w:pPr>
              <w:pStyle w:val="Texto"/>
              <w:spacing w:before="40" w:after="40" w:line="219" w:lineRule="exact"/>
              <w:ind w:left="2016" w:hanging="1152"/>
            </w:pPr>
            <w:r w:rsidRPr="00AB7CA1">
              <w:rPr>
                <w:b/>
              </w:rPr>
              <w:t>19/ISR/N</w:t>
            </w:r>
            <w:r w:rsidRPr="00AB7CA1">
              <w:rPr>
                <w:b/>
              </w:rPr>
              <w:tab/>
            </w:r>
            <w:r w:rsidRPr="00AB7CA1">
              <w:t>Pérdidas por créditos incobrables. Notoria imposibilidad práctica de cobro.</w:t>
            </w:r>
          </w:p>
        </w:tc>
      </w:tr>
      <w:tr w:rsidR="0098530D" w:rsidRPr="00AB7CA1" w14:paraId="715079CD" w14:textId="77777777" w:rsidTr="00552502">
        <w:tblPrEx>
          <w:tblCellMar>
            <w:top w:w="0" w:type="dxa"/>
            <w:bottom w:w="0" w:type="dxa"/>
          </w:tblCellMar>
        </w:tblPrEx>
        <w:trPr>
          <w:cantSplit/>
          <w:trHeight w:val="20"/>
        </w:trPr>
        <w:tc>
          <w:tcPr>
            <w:tcW w:w="5000" w:type="pct"/>
            <w:tcBorders>
              <w:top w:val="single" w:sz="6" w:space="0" w:color="auto"/>
              <w:bottom w:val="nil"/>
            </w:tcBorders>
          </w:tcPr>
          <w:p w14:paraId="3C00447E" w14:textId="77777777" w:rsidR="0098530D" w:rsidRPr="00AB7CA1" w:rsidRDefault="0098530D" w:rsidP="00552502">
            <w:pPr>
              <w:pStyle w:val="Texto"/>
              <w:spacing w:before="40" w:after="40" w:line="220" w:lineRule="exact"/>
              <w:ind w:left="2016" w:hanging="1152"/>
            </w:pPr>
            <w:r w:rsidRPr="00AB7CA1">
              <w:rPr>
                <w:b/>
              </w:rPr>
              <w:t>20/ISR/N</w:t>
            </w:r>
            <w:r w:rsidRPr="00AB7CA1">
              <w:rPr>
                <w:b/>
              </w:rPr>
              <w:tab/>
            </w:r>
            <w:r w:rsidRPr="00AB7CA1">
              <w:t>Intereses no se consideran cantidades pagadas por concepto de ISR a cargo de terceros.</w:t>
            </w:r>
          </w:p>
        </w:tc>
      </w:tr>
      <w:tr w:rsidR="0098530D" w:rsidRPr="00AB7CA1" w14:paraId="1CEE596D" w14:textId="77777777" w:rsidTr="00552502">
        <w:tblPrEx>
          <w:tblCellMar>
            <w:top w:w="0" w:type="dxa"/>
            <w:bottom w:w="0" w:type="dxa"/>
          </w:tblCellMar>
        </w:tblPrEx>
        <w:trPr>
          <w:cantSplit/>
          <w:trHeight w:val="20"/>
        </w:trPr>
        <w:tc>
          <w:tcPr>
            <w:tcW w:w="5000" w:type="pct"/>
            <w:tcBorders>
              <w:top w:val="nil"/>
              <w:bottom w:val="nil"/>
            </w:tcBorders>
          </w:tcPr>
          <w:p w14:paraId="375D9A1F" w14:textId="77777777" w:rsidR="0098530D" w:rsidRPr="00AB7CA1" w:rsidRDefault="0098530D" w:rsidP="00552502">
            <w:pPr>
              <w:pStyle w:val="Texto"/>
              <w:spacing w:before="40" w:after="40" w:line="220" w:lineRule="exact"/>
              <w:ind w:left="2016" w:hanging="1152"/>
            </w:pPr>
            <w:r w:rsidRPr="00AB7CA1">
              <w:rPr>
                <w:b/>
              </w:rPr>
              <w:t>21/ISR/N</w:t>
            </w:r>
            <w:r w:rsidRPr="00AB7CA1">
              <w:rPr>
                <w:b/>
              </w:rPr>
              <w:tab/>
            </w:r>
            <w:r w:rsidRPr="00AB7CA1">
              <w:t>Dádivas a servidores públicos. No son deducibles para los efectos del ISR.</w:t>
            </w:r>
          </w:p>
        </w:tc>
      </w:tr>
      <w:tr w:rsidR="0098530D" w:rsidRPr="00AB7CA1" w14:paraId="5C06D6D6" w14:textId="77777777" w:rsidTr="00552502">
        <w:tblPrEx>
          <w:tblCellMar>
            <w:top w:w="0" w:type="dxa"/>
            <w:bottom w:w="0" w:type="dxa"/>
          </w:tblCellMar>
        </w:tblPrEx>
        <w:trPr>
          <w:cantSplit/>
          <w:trHeight w:val="20"/>
        </w:trPr>
        <w:tc>
          <w:tcPr>
            <w:tcW w:w="5000" w:type="pct"/>
            <w:tcBorders>
              <w:top w:val="nil"/>
              <w:bottom w:val="nil"/>
            </w:tcBorders>
          </w:tcPr>
          <w:p w14:paraId="7EE96CFB" w14:textId="77777777" w:rsidR="0098530D" w:rsidRPr="00AB7CA1" w:rsidRDefault="0098530D" w:rsidP="00552502">
            <w:pPr>
              <w:pStyle w:val="Texto"/>
              <w:spacing w:before="40" w:after="40" w:line="220" w:lineRule="exact"/>
              <w:ind w:left="2016" w:hanging="1152"/>
            </w:pPr>
            <w:r w:rsidRPr="00AB7CA1">
              <w:rPr>
                <w:b/>
              </w:rPr>
              <w:t>22/ISR/N</w:t>
            </w:r>
            <w:r w:rsidRPr="00AB7CA1">
              <w:rPr>
                <w:b/>
              </w:rPr>
              <w:tab/>
            </w:r>
            <w:r w:rsidRPr="00AB7CA1">
              <w:t>Crédito comercial. No es deducible el sobreprecio que paga el contribuyente por la adquisición de un bien.</w:t>
            </w:r>
          </w:p>
        </w:tc>
      </w:tr>
      <w:tr w:rsidR="0098530D" w:rsidRPr="00AB7CA1" w14:paraId="20392232" w14:textId="77777777" w:rsidTr="00552502">
        <w:tblPrEx>
          <w:tblCellMar>
            <w:top w:w="0" w:type="dxa"/>
            <w:bottom w:w="0" w:type="dxa"/>
          </w:tblCellMar>
        </w:tblPrEx>
        <w:trPr>
          <w:cantSplit/>
          <w:trHeight w:val="20"/>
        </w:trPr>
        <w:tc>
          <w:tcPr>
            <w:tcW w:w="5000" w:type="pct"/>
            <w:tcBorders>
              <w:top w:val="nil"/>
              <w:bottom w:val="nil"/>
            </w:tcBorders>
          </w:tcPr>
          <w:p w14:paraId="0D6CC11D" w14:textId="77777777" w:rsidR="0098530D" w:rsidRPr="00AB7CA1" w:rsidRDefault="0098530D" w:rsidP="00552502">
            <w:pPr>
              <w:pStyle w:val="Texto"/>
              <w:spacing w:before="40" w:after="40" w:line="220" w:lineRule="exact"/>
              <w:ind w:left="2016" w:hanging="1152"/>
            </w:pPr>
            <w:r w:rsidRPr="00AB7CA1">
              <w:rPr>
                <w:b/>
              </w:rPr>
              <w:t>23/ISR/N</w:t>
            </w:r>
            <w:r w:rsidRPr="00AB7CA1">
              <w:rPr>
                <w:b/>
              </w:rPr>
              <w:tab/>
            </w:r>
            <w:r w:rsidRPr="00AB7CA1">
              <w:t>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tc>
      </w:tr>
      <w:tr w:rsidR="0098530D" w:rsidRPr="00AB7CA1" w14:paraId="4B32532E" w14:textId="77777777" w:rsidTr="00552502">
        <w:tblPrEx>
          <w:tblCellMar>
            <w:top w:w="0" w:type="dxa"/>
            <w:bottom w:w="0" w:type="dxa"/>
          </w:tblCellMar>
        </w:tblPrEx>
        <w:trPr>
          <w:cantSplit/>
          <w:trHeight w:val="20"/>
        </w:trPr>
        <w:tc>
          <w:tcPr>
            <w:tcW w:w="5000" w:type="pct"/>
            <w:tcBorders>
              <w:top w:val="nil"/>
              <w:bottom w:val="nil"/>
            </w:tcBorders>
          </w:tcPr>
          <w:p w14:paraId="4AE19588" w14:textId="77777777" w:rsidR="0098530D" w:rsidRPr="00AB7CA1" w:rsidRDefault="0098530D" w:rsidP="00552502">
            <w:pPr>
              <w:pStyle w:val="Texto"/>
              <w:spacing w:before="40" w:after="40" w:line="220" w:lineRule="exact"/>
              <w:ind w:left="2016" w:hanging="1152"/>
            </w:pPr>
            <w:r w:rsidRPr="00AB7CA1">
              <w:rPr>
                <w:b/>
              </w:rPr>
              <w:t>24/ISR/N</w:t>
            </w:r>
            <w:r w:rsidRPr="00AB7CA1">
              <w:rPr>
                <w:b/>
              </w:rPr>
              <w:tab/>
            </w:r>
            <w:r w:rsidRPr="00AB7CA1">
              <w:t>Deducciones del ISR. Los vehículos denominados pick up son camiones de carga.</w:t>
            </w:r>
          </w:p>
        </w:tc>
      </w:tr>
      <w:tr w:rsidR="0098530D" w:rsidRPr="00AB7CA1" w14:paraId="7D327091" w14:textId="77777777" w:rsidTr="00552502">
        <w:tblPrEx>
          <w:tblCellMar>
            <w:top w:w="0" w:type="dxa"/>
            <w:bottom w:w="0" w:type="dxa"/>
          </w:tblCellMar>
        </w:tblPrEx>
        <w:trPr>
          <w:cantSplit/>
          <w:trHeight w:val="20"/>
        </w:trPr>
        <w:tc>
          <w:tcPr>
            <w:tcW w:w="5000" w:type="pct"/>
            <w:tcBorders>
              <w:top w:val="nil"/>
              <w:bottom w:val="nil"/>
            </w:tcBorders>
          </w:tcPr>
          <w:p w14:paraId="64ADDE34" w14:textId="77777777" w:rsidR="0098530D" w:rsidRPr="00AB7CA1" w:rsidRDefault="0098530D" w:rsidP="00552502">
            <w:pPr>
              <w:pStyle w:val="Texto"/>
              <w:spacing w:before="40" w:after="40" w:line="220" w:lineRule="exact"/>
              <w:ind w:left="2016" w:hanging="1152"/>
            </w:pPr>
            <w:r w:rsidRPr="00AB7CA1">
              <w:rPr>
                <w:b/>
              </w:rPr>
              <w:t>25/ISR/N</w:t>
            </w:r>
            <w:r w:rsidRPr="00AB7CA1">
              <w:rPr>
                <w:b/>
              </w:rPr>
              <w:tab/>
            </w:r>
            <w:r w:rsidRPr="00AB7CA1">
              <w:t>Cálculo del ajuste anual por inflación. No debe considerarse el IVA acreditable.</w:t>
            </w:r>
          </w:p>
        </w:tc>
      </w:tr>
      <w:tr w:rsidR="0098530D" w:rsidRPr="00AB7CA1" w14:paraId="34E92B8F" w14:textId="77777777" w:rsidTr="00552502">
        <w:tblPrEx>
          <w:tblCellMar>
            <w:top w:w="0" w:type="dxa"/>
            <w:bottom w:w="0" w:type="dxa"/>
          </w:tblCellMar>
        </w:tblPrEx>
        <w:trPr>
          <w:cantSplit/>
          <w:trHeight w:val="20"/>
        </w:trPr>
        <w:tc>
          <w:tcPr>
            <w:tcW w:w="5000" w:type="pct"/>
            <w:tcBorders>
              <w:top w:val="nil"/>
              <w:bottom w:val="nil"/>
            </w:tcBorders>
          </w:tcPr>
          <w:p w14:paraId="1315584D" w14:textId="77777777" w:rsidR="0098530D" w:rsidRPr="00AB7CA1" w:rsidRDefault="0098530D" w:rsidP="00552502">
            <w:pPr>
              <w:pStyle w:val="Texto"/>
              <w:spacing w:before="40" w:after="40" w:line="220" w:lineRule="exact"/>
              <w:ind w:left="2016" w:hanging="1152"/>
            </w:pPr>
            <w:r w:rsidRPr="00AB7CA1">
              <w:rPr>
                <w:b/>
              </w:rPr>
              <w:t>26/ISR/N</w:t>
            </w:r>
            <w:r w:rsidRPr="00AB7CA1">
              <w:rPr>
                <w:b/>
              </w:rPr>
              <w:tab/>
            </w:r>
            <w:r w:rsidRPr="00AB7CA1">
              <w:t>Operaciones financieras derivadas de capital referenciadas al tipo de cambio de una divisa. El hecho de estar previstas en una disposición que regula la no retención por el pago de intereses no altera su naturaleza.</w:t>
            </w:r>
          </w:p>
        </w:tc>
      </w:tr>
      <w:tr w:rsidR="0098530D" w:rsidRPr="00AB7CA1" w14:paraId="50E3D199" w14:textId="77777777" w:rsidTr="00552502">
        <w:tblPrEx>
          <w:tblCellMar>
            <w:top w:w="0" w:type="dxa"/>
            <w:bottom w:w="0" w:type="dxa"/>
          </w:tblCellMar>
        </w:tblPrEx>
        <w:trPr>
          <w:cantSplit/>
          <w:trHeight w:val="20"/>
        </w:trPr>
        <w:tc>
          <w:tcPr>
            <w:tcW w:w="5000" w:type="pct"/>
            <w:tcBorders>
              <w:top w:val="nil"/>
              <w:bottom w:val="nil"/>
            </w:tcBorders>
          </w:tcPr>
          <w:p w14:paraId="7038DF85" w14:textId="77777777" w:rsidR="0098530D" w:rsidRPr="00AB7CA1" w:rsidRDefault="0098530D" w:rsidP="00552502">
            <w:pPr>
              <w:pStyle w:val="Texto"/>
              <w:spacing w:before="40" w:after="40" w:line="220" w:lineRule="exact"/>
              <w:ind w:left="2016" w:hanging="1152"/>
            </w:pPr>
            <w:r w:rsidRPr="00AB7CA1">
              <w:rPr>
                <w:b/>
              </w:rPr>
              <w:t>27/ISR/N</w:t>
            </w:r>
            <w:r w:rsidRPr="00AB7CA1">
              <w:rPr>
                <w:b/>
              </w:rPr>
              <w:tab/>
            </w:r>
            <w:r w:rsidRPr="00AB7CA1">
              <w:t>Actualización de pérdidas fiscales. Factor aplicable.</w:t>
            </w:r>
          </w:p>
        </w:tc>
      </w:tr>
      <w:tr w:rsidR="0098530D" w:rsidRPr="00AB7CA1" w14:paraId="6C2E09BF" w14:textId="77777777" w:rsidTr="00552502">
        <w:tblPrEx>
          <w:tblCellMar>
            <w:top w:w="0" w:type="dxa"/>
            <w:bottom w:w="0" w:type="dxa"/>
          </w:tblCellMar>
        </w:tblPrEx>
        <w:trPr>
          <w:cantSplit/>
          <w:trHeight w:val="20"/>
        </w:trPr>
        <w:tc>
          <w:tcPr>
            <w:tcW w:w="5000" w:type="pct"/>
            <w:tcBorders>
              <w:top w:val="nil"/>
              <w:bottom w:val="nil"/>
            </w:tcBorders>
          </w:tcPr>
          <w:p w14:paraId="4EECC428" w14:textId="77777777" w:rsidR="0098530D" w:rsidRPr="00AB7CA1" w:rsidRDefault="0098530D" w:rsidP="00552502">
            <w:pPr>
              <w:pStyle w:val="Texto"/>
              <w:spacing w:before="40" w:after="40" w:line="220" w:lineRule="exact"/>
              <w:ind w:left="2016" w:hanging="1152"/>
            </w:pPr>
            <w:r w:rsidRPr="00AB7CA1">
              <w:rPr>
                <w:b/>
              </w:rPr>
              <w:t>28/ISR/N</w:t>
            </w:r>
            <w:r w:rsidRPr="00AB7CA1">
              <w:rPr>
                <w:b/>
              </w:rPr>
              <w:tab/>
            </w:r>
            <w:r w:rsidRPr="00AB7CA1">
              <w:t>Aumento de la pérdida fiscal en declaraciones complementarias.</w:t>
            </w:r>
          </w:p>
        </w:tc>
      </w:tr>
      <w:tr w:rsidR="0098530D" w:rsidRPr="00AB7CA1" w14:paraId="475EEC5E" w14:textId="77777777" w:rsidTr="00552502">
        <w:tblPrEx>
          <w:tblCellMar>
            <w:top w:w="0" w:type="dxa"/>
            <w:bottom w:w="0" w:type="dxa"/>
          </w:tblCellMar>
        </w:tblPrEx>
        <w:trPr>
          <w:cantSplit/>
          <w:trHeight w:val="20"/>
        </w:trPr>
        <w:tc>
          <w:tcPr>
            <w:tcW w:w="5000" w:type="pct"/>
            <w:tcBorders>
              <w:top w:val="nil"/>
              <w:bottom w:val="nil"/>
            </w:tcBorders>
          </w:tcPr>
          <w:p w14:paraId="3D38CEB6" w14:textId="77777777" w:rsidR="0098530D" w:rsidRPr="00AB7CA1" w:rsidRDefault="0098530D" w:rsidP="00552502">
            <w:pPr>
              <w:pStyle w:val="Texto"/>
              <w:spacing w:before="40" w:after="40" w:line="220" w:lineRule="exact"/>
              <w:ind w:left="2016" w:hanging="1152"/>
            </w:pPr>
            <w:r w:rsidRPr="00AB7CA1">
              <w:rPr>
                <w:b/>
              </w:rPr>
              <w:t>29/ISR/N</w:t>
            </w:r>
            <w:r w:rsidRPr="00AB7CA1">
              <w:rPr>
                <w:b/>
              </w:rPr>
              <w:tab/>
            </w:r>
            <w:r w:rsidRPr="00AB7CA1">
              <w:t>Sociedades cooperativas de consumo. No están obligadas a pagar el ISR cuando enajenen bienes distintos de su activo fijo.</w:t>
            </w:r>
          </w:p>
        </w:tc>
      </w:tr>
      <w:tr w:rsidR="0098530D" w:rsidRPr="00AB7CA1" w14:paraId="228F993C" w14:textId="77777777" w:rsidTr="00552502">
        <w:tblPrEx>
          <w:tblCellMar>
            <w:top w:w="0" w:type="dxa"/>
            <w:bottom w:w="0" w:type="dxa"/>
          </w:tblCellMar>
        </w:tblPrEx>
        <w:trPr>
          <w:cantSplit/>
          <w:trHeight w:val="20"/>
        </w:trPr>
        <w:tc>
          <w:tcPr>
            <w:tcW w:w="5000" w:type="pct"/>
            <w:tcBorders>
              <w:top w:val="nil"/>
              <w:bottom w:val="nil"/>
            </w:tcBorders>
          </w:tcPr>
          <w:p w14:paraId="1F9E9A3B" w14:textId="77777777" w:rsidR="0098530D" w:rsidRPr="00AB7CA1" w:rsidRDefault="0098530D" w:rsidP="00552502">
            <w:pPr>
              <w:pStyle w:val="Texto"/>
              <w:spacing w:before="40" w:after="40" w:line="220" w:lineRule="exact"/>
              <w:ind w:left="2016" w:hanging="1152"/>
            </w:pPr>
            <w:r w:rsidRPr="00AB7CA1">
              <w:rPr>
                <w:b/>
              </w:rPr>
              <w:t>30/ISR/N</w:t>
            </w:r>
            <w:r w:rsidRPr="00AB7CA1">
              <w:rPr>
                <w:b/>
              </w:rPr>
              <w:tab/>
            </w:r>
            <w:r w:rsidRPr="00AB7CA1">
              <w:t>Instituciones de enseñanza. Deben contar con reconocimiento de validez oficial de estudios para obtener la autorización para recibir donativos deducibles y considerarse personas morales con fines no lucrativos.</w:t>
            </w:r>
          </w:p>
        </w:tc>
      </w:tr>
      <w:tr w:rsidR="0098530D" w:rsidRPr="00AB7CA1" w14:paraId="7A84FF7C" w14:textId="77777777" w:rsidTr="00552502">
        <w:tblPrEx>
          <w:tblCellMar>
            <w:top w:w="0" w:type="dxa"/>
            <w:bottom w:w="0" w:type="dxa"/>
          </w:tblCellMar>
        </w:tblPrEx>
        <w:trPr>
          <w:cantSplit/>
          <w:trHeight w:val="20"/>
        </w:trPr>
        <w:tc>
          <w:tcPr>
            <w:tcW w:w="5000" w:type="pct"/>
            <w:tcBorders>
              <w:top w:val="nil"/>
              <w:bottom w:val="nil"/>
            </w:tcBorders>
          </w:tcPr>
          <w:p w14:paraId="79F6576E" w14:textId="77777777" w:rsidR="0098530D" w:rsidRPr="00AB7CA1" w:rsidRDefault="0098530D" w:rsidP="00552502">
            <w:pPr>
              <w:pStyle w:val="Texto"/>
              <w:spacing w:before="40" w:after="40" w:line="220" w:lineRule="exact"/>
              <w:ind w:left="2016" w:hanging="1152"/>
            </w:pPr>
            <w:r w:rsidRPr="00AB7CA1">
              <w:rPr>
                <w:b/>
              </w:rPr>
              <w:t>31/ISR/N</w:t>
            </w:r>
            <w:r w:rsidRPr="00AB7CA1">
              <w:rPr>
                <w:b/>
              </w:rPr>
              <w:tab/>
            </w:r>
            <w:r w:rsidRPr="00AB7CA1">
              <w:t>Instituciones educativas autorizadas para recibir donativos deducibles. Las cuotas de inscripción y colegiaturas pagadas por sus alumnos se consideran cuotas de recuperación.</w:t>
            </w:r>
          </w:p>
        </w:tc>
      </w:tr>
      <w:tr w:rsidR="0098530D" w:rsidRPr="00AB7CA1" w14:paraId="45DBE959" w14:textId="77777777" w:rsidTr="00552502">
        <w:tblPrEx>
          <w:tblCellMar>
            <w:top w:w="0" w:type="dxa"/>
            <w:bottom w:w="0" w:type="dxa"/>
          </w:tblCellMar>
        </w:tblPrEx>
        <w:trPr>
          <w:cantSplit/>
          <w:trHeight w:val="20"/>
        </w:trPr>
        <w:tc>
          <w:tcPr>
            <w:tcW w:w="5000" w:type="pct"/>
            <w:tcBorders>
              <w:top w:val="nil"/>
              <w:bottom w:val="nil"/>
            </w:tcBorders>
          </w:tcPr>
          <w:p w14:paraId="5B4A20DF" w14:textId="77777777" w:rsidR="0098530D" w:rsidRPr="00AB7CA1" w:rsidRDefault="0098530D" w:rsidP="00552502">
            <w:pPr>
              <w:pStyle w:val="Texto"/>
              <w:spacing w:before="40" w:after="40" w:line="220" w:lineRule="exact"/>
              <w:ind w:left="2016" w:hanging="1152"/>
            </w:pPr>
            <w:r w:rsidRPr="00AB7CA1">
              <w:rPr>
                <w:b/>
              </w:rPr>
              <w:t>32/ISR/N</w:t>
            </w:r>
            <w:r w:rsidRPr="00AB7CA1">
              <w:rPr>
                <w:b/>
              </w:rPr>
              <w:tab/>
            </w:r>
            <w:r w:rsidRPr="00AB7CA1">
              <w:t>Premios por asistencia y puntualidad. No son prestaciones de naturaleza análoga a la previsión social.</w:t>
            </w:r>
          </w:p>
        </w:tc>
      </w:tr>
      <w:tr w:rsidR="0098530D" w:rsidRPr="00AB7CA1" w14:paraId="6096FF7A" w14:textId="77777777" w:rsidTr="00552502">
        <w:tblPrEx>
          <w:tblCellMar>
            <w:top w:w="0" w:type="dxa"/>
            <w:bottom w:w="0" w:type="dxa"/>
          </w:tblCellMar>
        </w:tblPrEx>
        <w:trPr>
          <w:cantSplit/>
          <w:trHeight w:val="20"/>
        </w:trPr>
        <w:tc>
          <w:tcPr>
            <w:tcW w:w="5000" w:type="pct"/>
            <w:tcBorders>
              <w:top w:val="nil"/>
              <w:bottom w:val="nil"/>
            </w:tcBorders>
          </w:tcPr>
          <w:p w14:paraId="2093C91C" w14:textId="77777777" w:rsidR="0098530D" w:rsidRPr="00AB7CA1" w:rsidRDefault="0098530D" w:rsidP="00552502">
            <w:pPr>
              <w:pStyle w:val="Texto"/>
              <w:spacing w:before="40" w:after="40" w:line="220" w:lineRule="exact"/>
              <w:ind w:left="2016" w:hanging="1152"/>
            </w:pPr>
            <w:r w:rsidRPr="00AB7CA1">
              <w:rPr>
                <w:b/>
              </w:rPr>
              <w:t>33/ISR/N</w:t>
            </w:r>
            <w:r w:rsidRPr="00AB7CA1">
              <w:rPr>
                <w:b/>
              </w:rPr>
              <w:tab/>
            </w:r>
            <w:r w:rsidRPr="00AB7CA1">
              <w:t>Previsión Social. Cumplimiento del requisito de generalidad.</w:t>
            </w:r>
          </w:p>
        </w:tc>
      </w:tr>
      <w:tr w:rsidR="0098530D" w:rsidRPr="00AB7CA1" w14:paraId="27E054D1" w14:textId="77777777" w:rsidTr="00552502">
        <w:tblPrEx>
          <w:tblCellMar>
            <w:top w:w="0" w:type="dxa"/>
            <w:bottom w:w="0" w:type="dxa"/>
          </w:tblCellMar>
        </w:tblPrEx>
        <w:trPr>
          <w:cantSplit/>
          <w:trHeight w:val="20"/>
        </w:trPr>
        <w:tc>
          <w:tcPr>
            <w:tcW w:w="5000" w:type="pct"/>
            <w:tcBorders>
              <w:top w:val="nil"/>
              <w:bottom w:val="nil"/>
            </w:tcBorders>
          </w:tcPr>
          <w:p w14:paraId="1BD3D007" w14:textId="77777777" w:rsidR="0098530D" w:rsidRPr="00AB7CA1" w:rsidRDefault="0098530D" w:rsidP="00552502">
            <w:pPr>
              <w:pStyle w:val="Texto"/>
              <w:spacing w:before="40" w:after="40" w:line="220" w:lineRule="exact"/>
              <w:ind w:left="2016" w:hanging="1152"/>
            </w:pPr>
            <w:r w:rsidRPr="00AB7CA1">
              <w:rPr>
                <w:b/>
              </w:rPr>
              <w:t>34/ISR/N</w:t>
            </w:r>
            <w:r w:rsidRPr="00AB7CA1">
              <w:rPr>
                <w:b/>
              </w:rPr>
              <w:tab/>
            </w:r>
            <w:r w:rsidRPr="00AB7CA1">
              <w:t>Ingresos por enajenación de bienes inmuebles destinados a casa habitación.</w:t>
            </w:r>
          </w:p>
        </w:tc>
      </w:tr>
      <w:tr w:rsidR="0098530D" w:rsidRPr="00AB7CA1" w14:paraId="1E5C8ACE" w14:textId="77777777" w:rsidTr="00552502">
        <w:tblPrEx>
          <w:tblCellMar>
            <w:top w:w="0" w:type="dxa"/>
            <w:bottom w:w="0" w:type="dxa"/>
          </w:tblCellMar>
        </w:tblPrEx>
        <w:trPr>
          <w:cantSplit/>
          <w:trHeight w:val="20"/>
        </w:trPr>
        <w:tc>
          <w:tcPr>
            <w:tcW w:w="5000" w:type="pct"/>
            <w:tcBorders>
              <w:top w:val="nil"/>
              <w:bottom w:val="nil"/>
            </w:tcBorders>
          </w:tcPr>
          <w:p w14:paraId="64229936" w14:textId="77777777" w:rsidR="0098530D" w:rsidRPr="00AB7CA1" w:rsidRDefault="0098530D" w:rsidP="00552502">
            <w:pPr>
              <w:pStyle w:val="Texto"/>
              <w:spacing w:before="40" w:after="40" w:line="220" w:lineRule="exact"/>
              <w:ind w:left="2016" w:hanging="1152"/>
            </w:pPr>
            <w:r w:rsidRPr="00AB7CA1">
              <w:rPr>
                <w:b/>
              </w:rPr>
              <w:t>35/ISR/N</w:t>
            </w:r>
            <w:r w:rsidRPr="00AB7CA1">
              <w:rPr>
                <w:b/>
              </w:rPr>
              <w:tab/>
            </w:r>
            <w:r w:rsidRPr="00AB7CA1">
              <w:t>Propinas. Constituyen un ingreso para el trabajador.</w:t>
            </w:r>
          </w:p>
        </w:tc>
      </w:tr>
      <w:tr w:rsidR="0098530D" w:rsidRPr="00AB7CA1" w14:paraId="11FD7D66" w14:textId="77777777" w:rsidTr="00552502">
        <w:tblPrEx>
          <w:tblCellMar>
            <w:top w:w="0" w:type="dxa"/>
            <w:bottom w:w="0" w:type="dxa"/>
          </w:tblCellMar>
        </w:tblPrEx>
        <w:trPr>
          <w:cantSplit/>
          <w:trHeight w:val="20"/>
        </w:trPr>
        <w:tc>
          <w:tcPr>
            <w:tcW w:w="5000" w:type="pct"/>
            <w:tcBorders>
              <w:top w:val="nil"/>
              <w:bottom w:val="nil"/>
            </w:tcBorders>
          </w:tcPr>
          <w:p w14:paraId="5F45C0AC" w14:textId="77777777" w:rsidR="0098530D" w:rsidRPr="00AB7CA1" w:rsidRDefault="0098530D" w:rsidP="00552502">
            <w:pPr>
              <w:pStyle w:val="Texto"/>
              <w:spacing w:before="40" w:after="40" w:line="222" w:lineRule="exact"/>
              <w:ind w:left="2016" w:hanging="1152"/>
            </w:pPr>
            <w:r w:rsidRPr="00AB7CA1">
              <w:rPr>
                <w:b/>
              </w:rPr>
              <w:t>36/ISR/N</w:t>
            </w:r>
            <w:r w:rsidRPr="00AB7CA1">
              <w:rPr>
                <w:b/>
              </w:rPr>
              <w:tab/>
            </w:r>
            <w:r w:rsidRPr="00AB7CA1">
              <w:t>Subsidio para el empleo. Es factible recuperar vía devolución el remanente no acreditado.</w:t>
            </w:r>
          </w:p>
        </w:tc>
      </w:tr>
      <w:tr w:rsidR="0098530D" w:rsidRPr="00AB7CA1" w14:paraId="2587F29F" w14:textId="77777777" w:rsidTr="00552502">
        <w:tblPrEx>
          <w:tblCellMar>
            <w:top w:w="0" w:type="dxa"/>
            <w:bottom w:w="0" w:type="dxa"/>
          </w:tblCellMar>
        </w:tblPrEx>
        <w:trPr>
          <w:cantSplit/>
          <w:trHeight w:val="20"/>
        </w:trPr>
        <w:tc>
          <w:tcPr>
            <w:tcW w:w="5000" w:type="pct"/>
            <w:tcBorders>
              <w:top w:val="nil"/>
              <w:bottom w:val="nil"/>
            </w:tcBorders>
          </w:tcPr>
          <w:p w14:paraId="44C06FA5" w14:textId="77777777" w:rsidR="0098530D" w:rsidRPr="00AB7CA1" w:rsidRDefault="0098530D" w:rsidP="00552502">
            <w:pPr>
              <w:pStyle w:val="Texto"/>
              <w:spacing w:before="40" w:after="40" w:line="222" w:lineRule="exact"/>
              <w:ind w:left="2016" w:hanging="1152"/>
            </w:pPr>
            <w:r w:rsidRPr="00AB7CA1">
              <w:rPr>
                <w:b/>
              </w:rPr>
              <w:t>37/ISR/N</w:t>
            </w:r>
            <w:r w:rsidRPr="00AB7CA1">
              <w:rPr>
                <w:b/>
              </w:rPr>
              <w:tab/>
            </w:r>
            <w:r w:rsidRPr="00AB7CA1">
              <w:t>Acciones emitidas por sociedades extranjeras cotizadas en bolsas de valores concesionadas. Su enajenación está sujeta a la tasa del 10%.</w:t>
            </w:r>
          </w:p>
        </w:tc>
      </w:tr>
      <w:tr w:rsidR="0098530D" w:rsidRPr="00AB7CA1" w14:paraId="4997C2A1" w14:textId="77777777" w:rsidTr="00552502">
        <w:tblPrEx>
          <w:tblCellMar>
            <w:top w:w="0" w:type="dxa"/>
            <w:bottom w:w="0" w:type="dxa"/>
          </w:tblCellMar>
        </w:tblPrEx>
        <w:trPr>
          <w:cantSplit/>
          <w:trHeight w:val="20"/>
        </w:trPr>
        <w:tc>
          <w:tcPr>
            <w:tcW w:w="5000" w:type="pct"/>
            <w:tcBorders>
              <w:top w:val="nil"/>
              <w:bottom w:val="nil"/>
            </w:tcBorders>
          </w:tcPr>
          <w:p w14:paraId="6B7383E4" w14:textId="77777777" w:rsidR="0098530D" w:rsidRPr="00AB7CA1" w:rsidRDefault="0098530D" w:rsidP="00552502">
            <w:pPr>
              <w:pStyle w:val="Texto"/>
              <w:spacing w:before="40" w:after="40" w:line="222" w:lineRule="exact"/>
              <w:ind w:left="2016" w:hanging="1152"/>
            </w:pPr>
            <w:r w:rsidRPr="00AB7CA1">
              <w:rPr>
                <w:b/>
              </w:rPr>
              <w:t>38/ISR/N</w:t>
            </w:r>
            <w:r w:rsidRPr="00AB7CA1">
              <w:rPr>
                <w:b/>
              </w:rPr>
              <w:tab/>
            </w:r>
            <w:r w:rsidRPr="00AB7CA1">
              <w:t>Dividendos o utilidades distribuidos. Acumulación a los demás ingresos por parte de las personas físicas.</w:t>
            </w:r>
          </w:p>
        </w:tc>
      </w:tr>
      <w:tr w:rsidR="0098530D" w:rsidRPr="00AB7CA1" w14:paraId="0669FC28" w14:textId="77777777" w:rsidTr="00552502">
        <w:tblPrEx>
          <w:tblCellMar>
            <w:top w:w="0" w:type="dxa"/>
            <w:bottom w:w="0" w:type="dxa"/>
          </w:tblCellMar>
        </w:tblPrEx>
        <w:trPr>
          <w:cantSplit/>
          <w:trHeight w:val="20"/>
        </w:trPr>
        <w:tc>
          <w:tcPr>
            <w:tcW w:w="5000" w:type="pct"/>
            <w:tcBorders>
              <w:top w:val="nil"/>
              <w:bottom w:val="nil"/>
            </w:tcBorders>
          </w:tcPr>
          <w:p w14:paraId="5E127D9E" w14:textId="77777777" w:rsidR="0098530D" w:rsidRPr="00AB7CA1" w:rsidRDefault="0098530D" w:rsidP="00552502">
            <w:pPr>
              <w:pStyle w:val="Texto"/>
              <w:spacing w:before="40" w:after="40" w:line="222" w:lineRule="exact"/>
              <w:ind w:left="2016" w:hanging="1152"/>
            </w:pPr>
            <w:r w:rsidRPr="00AB7CA1">
              <w:rPr>
                <w:b/>
              </w:rPr>
              <w:t>39/ISR/N</w:t>
            </w:r>
            <w:r w:rsidRPr="00AB7CA1">
              <w:rPr>
                <w:b/>
              </w:rPr>
              <w:tab/>
            </w:r>
            <w:r w:rsidRPr="00AB7CA1">
              <w:t>Dividendos o utilidades distribuidos pagados por una sociedad. Acumulación de los demás ingresos de las personas físicas.</w:t>
            </w:r>
          </w:p>
        </w:tc>
      </w:tr>
      <w:tr w:rsidR="0098530D" w:rsidRPr="00AB7CA1" w14:paraId="019DFA63" w14:textId="77777777" w:rsidTr="00552502">
        <w:tblPrEx>
          <w:tblCellMar>
            <w:top w:w="0" w:type="dxa"/>
            <w:bottom w:w="0" w:type="dxa"/>
          </w:tblCellMar>
        </w:tblPrEx>
        <w:trPr>
          <w:cantSplit/>
          <w:trHeight w:val="20"/>
        </w:trPr>
        <w:tc>
          <w:tcPr>
            <w:tcW w:w="5000" w:type="pct"/>
            <w:tcBorders>
              <w:top w:val="nil"/>
              <w:bottom w:val="nil"/>
            </w:tcBorders>
          </w:tcPr>
          <w:p w14:paraId="2AFB3145" w14:textId="77777777" w:rsidR="0098530D" w:rsidRPr="00AB7CA1" w:rsidRDefault="0098530D" w:rsidP="00552502">
            <w:pPr>
              <w:pStyle w:val="Texto"/>
              <w:spacing w:before="40" w:after="40" w:line="222" w:lineRule="exact"/>
              <w:ind w:left="2016" w:hanging="1152"/>
            </w:pPr>
            <w:r w:rsidRPr="00AB7CA1">
              <w:rPr>
                <w:b/>
              </w:rPr>
              <w:t>40/ISR/N</w:t>
            </w:r>
            <w:r w:rsidRPr="00AB7CA1">
              <w:rPr>
                <w:b/>
              </w:rPr>
              <w:tab/>
            </w:r>
            <w:r w:rsidRPr="00AB7CA1">
              <w:t>Dividendos o utilidades distribuidos. Momento de acumulación de los ingresos de las personas físicas.</w:t>
            </w:r>
          </w:p>
        </w:tc>
      </w:tr>
      <w:tr w:rsidR="0098530D" w:rsidRPr="00AB7CA1" w14:paraId="787FBF2B" w14:textId="77777777" w:rsidTr="00552502">
        <w:tblPrEx>
          <w:tblCellMar>
            <w:top w:w="0" w:type="dxa"/>
            <w:bottom w:w="0" w:type="dxa"/>
          </w:tblCellMar>
        </w:tblPrEx>
        <w:trPr>
          <w:cantSplit/>
          <w:trHeight w:val="20"/>
        </w:trPr>
        <w:tc>
          <w:tcPr>
            <w:tcW w:w="5000" w:type="pct"/>
            <w:tcBorders>
              <w:top w:val="nil"/>
              <w:bottom w:val="nil"/>
            </w:tcBorders>
          </w:tcPr>
          <w:p w14:paraId="249B6509" w14:textId="77777777" w:rsidR="0098530D" w:rsidRPr="00AB7CA1" w:rsidRDefault="0098530D" w:rsidP="00552502">
            <w:pPr>
              <w:pStyle w:val="Texto"/>
              <w:spacing w:before="40" w:after="40" w:line="222" w:lineRule="exact"/>
              <w:ind w:left="2016" w:hanging="1152"/>
            </w:pPr>
            <w:r w:rsidRPr="00AB7CA1">
              <w:rPr>
                <w:b/>
              </w:rPr>
              <w:t>41/ISR/N</w:t>
            </w:r>
            <w:r w:rsidRPr="00AB7CA1">
              <w:rPr>
                <w:b/>
              </w:rPr>
              <w:tab/>
            </w:r>
            <w:r w:rsidRPr="00AB7CA1">
              <w:t>Devolución de saldos a favor a personas físicas. Acreditamiento del ISR pagado por la persona que distribuyó los dividendos.</w:t>
            </w:r>
          </w:p>
        </w:tc>
      </w:tr>
      <w:tr w:rsidR="0098530D" w:rsidRPr="00AB7CA1" w14:paraId="3EAAA306" w14:textId="77777777" w:rsidTr="00552502">
        <w:tblPrEx>
          <w:tblCellMar>
            <w:top w:w="0" w:type="dxa"/>
            <w:bottom w:w="0" w:type="dxa"/>
          </w:tblCellMar>
        </w:tblPrEx>
        <w:trPr>
          <w:cantSplit/>
          <w:trHeight w:val="20"/>
        </w:trPr>
        <w:tc>
          <w:tcPr>
            <w:tcW w:w="5000" w:type="pct"/>
            <w:tcBorders>
              <w:top w:val="nil"/>
              <w:bottom w:val="nil"/>
            </w:tcBorders>
          </w:tcPr>
          <w:p w14:paraId="57D5C31A" w14:textId="77777777" w:rsidR="0098530D" w:rsidRPr="00AB7CA1" w:rsidRDefault="0098530D" w:rsidP="00552502">
            <w:pPr>
              <w:pStyle w:val="Texto"/>
              <w:spacing w:before="40" w:after="40" w:line="222" w:lineRule="exact"/>
              <w:ind w:left="2016" w:hanging="1152"/>
            </w:pPr>
            <w:r w:rsidRPr="00AB7CA1">
              <w:rPr>
                <w:b/>
              </w:rPr>
              <w:t>42/ISR/N</w:t>
            </w:r>
            <w:r w:rsidRPr="00AB7CA1">
              <w:rPr>
                <w:b/>
              </w:rPr>
              <w:tab/>
            </w:r>
            <w:r w:rsidRPr="00AB7CA1">
              <w:t>Préstamos a socios y accionistas. Se consideran dividendos.</w:t>
            </w:r>
          </w:p>
        </w:tc>
      </w:tr>
      <w:tr w:rsidR="0098530D" w:rsidRPr="00AB7CA1" w14:paraId="42F1C29A" w14:textId="77777777" w:rsidTr="00552502">
        <w:tblPrEx>
          <w:tblCellMar>
            <w:top w:w="0" w:type="dxa"/>
            <w:bottom w:w="0" w:type="dxa"/>
          </w:tblCellMar>
        </w:tblPrEx>
        <w:trPr>
          <w:cantSplit/>
          <w:trHeight w:val="20"/>
        </w:trPr>
        <w:tc>
          <w:tcPr>
            <w:tcW w:w="5000" w:type="pct"/>
            <w:tcBorders>
              <w:top w:val="nil"/>
              <w:bottom w:val="nil"/>
            </w:tcBorders>
          </w:tcPr>
          <w:p w14:paraId="333CEA35" w14:textId="77777777" w:rsidR="0098530D" w:rsidRPr="00AB7CA1" w:rsidRDefault="0098530D" w:rsidP="00552502">
            <w:pPr>
              <w:pStyle w:val="Texto"/>
              <w:spacing w:before="40" w:after="40" w:line="222" w:lineRule="exact"/>
              <w:ind w:left="2016" w:hanging="1152"/>
            </w:pPr>
            <w:r w:rsidRPr="00AB7CA1">
              <w:rPr>
                <w:b/>
              </w:rPr>
              <w:lastRenderedPageBreak/>
              <w:t>43/ISR/N</w:t>
            </w:r>
            <w:r w:rsidRPr="00AB7CA1">
              <w:rPr>
                <w:b/>
              </w:rPr>
              <w:tab/>
            </w:r>
            <w:r w:rsidRPr="00AB7CA1">
              <w:t>Distribución de dividendos. Monto del acreditamiento del ISR que tienen derecho de aplicar las personas físicas en la declaración del ejercicio, cuando reciban dividendos de persona moral dedicada exclusivamente a actividades agrícolas, ganaderas, pesqueras o silvícolas.</w:t>
            </w:r>
          </w:p>
        </w:tc>
      </w:tr>
      <w:tr w:rsidR="0098530D" w:rsidRPr="00AB7CA1" w14:paraId="187F6407" w14:textId="77777777" w:rsidTr="00552502">
        <w:tblPrEx>
          <w:tblCellMar>
            <w:top w:w="0" w:type="dxa"/>
            <w:bottom w:w="0" w:type="dxa"/>
          </w:tblCellMar>
        </w:tblPrEx>
        <w:trPr>
          <w:cantSplit/>
          <w:trHeight w:val="20"/>
        </w:trPr>
        <w:tc>
          <w:tcPr>
            <w:tcW w:w="5000" w:type="pct"/>
            <w:tcBorders>
              <w:top w:val="nil"/>
              <w:bottom w:val="nil"/>
            </w:tcBorders>
          </w:tcPr>
          <w:p w14:paraId="4FC3757F" w14:textId="77777777" w:rsidR="0098530D" w:rsidRPr="00AB7CA1" w:rsidRDefault="0098530D" w:rsidP="00552502">
            <w:pPr>
              <w:pStyle w:val="Texto"/>
              <w:spacing w:before="40" w:after="40" w:line="222" w:lineRule="exact"/>
              <w:ind w:left="2016" w:hanging="1152"/>
            </w:pPr>
            <w:r w:rsidRPr="00AB7CA1">
              <w:rPr>
                <w:b/>
              </w:rPr>
              <w:t>44/ISR/N</w:t>
            </w:r>
            <w:r w:rsidRPr="00AB7CA1">
              <w:rPr>
                <w:b/>
              </w:rPr>
              <w:tab/>
            </w:r>
            <w:r w:rsidRPr="00AB7CA1">
              <w:t>Personas físicas. Ingresos percibidos por estímulos fiscales, se consideran percibidos en el momento que se incrementa el patrimonio.</w:t>
            </w:r>
          </w:p>
        </w:tc>
      </w:tr>
      <w:tr w:rsidR="0098530D" w:rsidRPr="00AB7CA1" w14:paraId="604B9FA1" w14:textId="77777777" w:rsidTr="00552502">
        <w:tblPrEx>
          <w:tblCellMar>
            <w:top w:w="0" w:type="dxa"/>
            <w:bottom w:w="0" w:type="dxa"/>
          </w:tblCellMar>
        </w:tblPrEx>
        <w:trPr>
          <w:cantSplit/>
          <w:trHeight w:val="20"/>
        </w:trPr>
        <w:tc>
          <w:tcPr>
            <w:tcW w:w="5000" w:type="pct"/>
            <w:tcBorders>
              <w:top w:val="nil"/>
              <w:bottom w:val="single" w:sz="6" w:space="0" w:color="auto"/>
            </w:tcBorders>
          </w:tcPr>
          <w:p w14:paraId="6A2D20AE" w14:textId="77777777" w:rsidR="0098530D" w:rsidRPr="00AB7CA1" w:rsidRDefault="0098530D" w:rsidP="00552502">
            <w:pPr>
              <w:pStyle w:val="Texto"/>
              <w:spacing w:before="40" w:after="40" w:line="222" w:lineRule="exact"/>
              <w:ind w:left="2016" w:hanging="1152"/>
            </w:pPr>
            <w:r w:rsidRPr="00AB7CA1">
              <w:rPr>
                <w:b/>
              </w:rPr>
              <w:t>45/ISR/N</w:t>
            </w:r>
            <w:r w:rsidRPr="00AB7CA1">
              <w:rPr>
                <w:b/>
              </w:rPr>
              <w:tab/>
            </w:r>
            <w:r w:rsidRPr="00AB7CA1">
              <w:t>Operaciones financieras derivadas en las que se liquiden diferencias durante su vigencia. Se considera que existe un vencimiento en cada liquidación respecto del monto de la diferencia liquidada.</w:t>
            </w:r>
          </w:p>
        </w:tc>
      </w:tr>
      <w:tr w:rsidR="0098530D" w:rsidRPr="00AB7CA1" w14:paraId="0A3279F8" w14:textId="77777777" w:rsidTr="00552502">
        <w:tblPrEx>
          <w:tblCellMar>
            <w:top w:w="0" w:type="dxa"/>
            <w:bottom w:w="0" w:type="dxa"/>
          </w:tblCellMar>
        </w:tblPrEx>
        <w:trPr>
          <w:cantSplit/>
          <w:trHeight w:val="20"/>
        </w:trPr>
        <w:tc>
          <w:tcPr>
            <w:tcW w:w="5000" w:type="pct"/>
            <w:tcBorders>
              <w:top w:val="single" w:sz="6" w:space="0" w:color="auto"/>
              <w:bottom w:val="nil"/>
            </w:tcBorders>
          </w:tcPr>
          <w:p w14:paraId="5037DD52" w14:textId="77777777" w:rsidR="0098530D" w:rsidRPr="00AB7CA1" w:rsidRDefault="0098530D" w:rsidP="00552502">
            <w:pPr>
              <w:pStyle w:val="Texto"/>
              <w:spacing w:before="40" w:after="40" w:line="222" w:lineRule="exact"/>
              <w:ind w:left="2016" w:hanging="1152"/>
            </w:pPr>
            <w:r w:rsidRPr="00AB7CA1">
              <w:rPr>
                <w:b/>
              </w:rPr>
              <w:t>46/ISR/N</w:t>
            </w:r>
            <w:r w:rsidRPr="00AB7CA1">
              <w:rPr>
                <w:b/>
              </w:rPr>
              <w:tab/>
            </w:r>
            <w:r w:rsidRPr="00AB7CA1">
              <w:t>Deducible del seguro de gastos médicos. No es una deducción personal.</w:t>
            </w:r>
          </w:p>
        </w:tc>
      </w:tr>
      <w:tr w:rsidR="0098530D" w:rsidRPr="00AB7CA1" w14:paraId="6FB354D2" w14:textId="77777777" w:rsidTr="00552502">
        <w:tblPrEx>
          <w:tblCellMar>
            <w:top w:w="0" w:type="dxa"/>
            <w:bottom w:w="0" w:type="dxa"/>
          </w:tblCellMar>
        </w:tblPrEx>
        <w:trPr>
          <w:cantSplit/>
          <w:trHeight w:val="20"/>
        </w:trPr>
        <w:tc>
          <w:tcPr>
            <w:tcW w:w="5000" w:type="pct"/>
            <w:tcBorders>
              <w:top w:val="nil"/>
              <w:bottom w:val="nil"/>
            </w:tcBorders>
          </w:tcPr>
          <w:p w14:paraId="4D7DD724" w14:textId="77777777" w:rsidR="0098530D" w:rsidRPr="00AB7CA1" w:rsidRDefault="0098530D" w:rsidP="00552502">
            <w:pPr>
              <w:pStyle w:val="Texto"/>
              <w:spacing w:before="40" w:after="40" w:line="222" w:lineRule="exact"/>
              <w:ind w:left="2016" w:hanging="1152"/>
            </w:pPr>
            <w:r w:rsidRPr="00AB7CA1">
              <w:rPr>
                <w:b/>
              </w:rPr>
              <w:t>47/ISR/N</w:t>
            </w:r>
            <w:r w:rsidRPr="00AB7CA1">
              <w:rPr>
                <w:b/>
              </w:rPr>
              <w:tab/>
            </w:r>
            <w:r w:rsidRPr="00AB7CA1">
              <w:t>Ingresos por honorarios y en general por la prestación de un servicio profesional, para los efectos del Título V de la Ley del ISR.</w:t>
            </w:r>
          </w:p>
        </w:tc>
      </w:tr>
      <w:tr w:rsidR="0098530D" w:rsidRPr="00AB7CA1" w14:paraId="55A984F8" w14:textId="77777777" w:rsidTr="00552502">
        <w:tblPrEx>
          <w:tblCellMar>
            <w:top w:w="0" w:type="dxa"/>
            <w:bottom w:w="0" w:type="dxa"/>
          </w:tblCellMar>
        </w:tblPrEx>
        <w:trPr>
          <w:cantSplit/>
          <w:trHeight w:val="20"/>
        </w:trPr>
        <w:tc>
          <w:tcPr>
            <w:tcW w:w="5000" w:type="pct"/>
            <w:tcBorders>
              <w:top w:val="nil"/>
              <w:bottom w:val="nil"/>
            </w:tcBorders>
          </w:tcPr>
          <w:p w14:paraId="4DC9E6D6" w14:textId="77777777" w:rsidR="0098530D" w:rsidRPr="00AB7CA1" w:rsidRDefault="0098530D" w:rsidP="00552502">
            <w:pPr>
              <w:pStyle w:val="Texto"/>
              <w:spacing w:before="40" w:after="40" w:line="222" w:lineRule="exact"/>
              <w:ind w:left="2016" w:hanging="1152"/>
            </w:pPr>
            <w:r w:rsidRPr="00AB7CA1">
              <w:rPr>
                <w:b/>
              </w:rPr>
              <w:t>48/ISR/N</w:t>
            </w:r>
            <w:r w:rsidRPr="00AB7CA1">
              <w:rPr>
                <w:b/>
              </w:rPr>
              <w:tab/>
            </w:r>
            <w:r w:rsidRPr="00AB7CA1">
              <w:t>Operación de maquila para los efectos de la Ley del ISR. Alcance del concepto transformación.</w:t>
            </w:r>
          </w:p>
        </w:tc>
      </w:tr>
      <w:tr w:rsidR="0098530D" w:rsidRPr="00AB7CA1" w14:paraId="4FA1E33E" w14:textId="77777777" w:rsidTr="00552502">
        <w:tblPrEx>
          <w:tblCellMar>
            <w:top w:w="0" w:type="dxa"/>
            <w:bottom w:w="0" w:type="dxa"/>
          </w:tblCellMar>
        </w:tblPrEx>
        <w:trPr>
          <w:cantSplit/>
          <w:trHeight w:val="20"/>
        </w:trPr>
        <w:tc>
          <w:tcPr>
            <w:tcW w:w="5000" w:type="pct"/>
            <w:tcBorders>
              <w:top w:val="nil"/>
              <w:bottom w:val="nil"/>
            </w:tcBorders>
          </w:tcPr>
          <w:p w14:paraId="635F0724" w14:textId="77777777" w:rsidR="0098530D" w:rsidRPr="00AB7CA1" w:rsidRDefault="0098530D" w:rsidP="00552502">
            <w:pPr>
              <w:pStyle w:val="Texto"/>
              <w:spacing w:before="40" w:after="40" w:line="222" w:lineRule="exact"/>
              <w:ind w:left="2016" w:hanging="1152"/>
            </w:pPr>
            <w:r w:rsidRPr="00AB7CA1">
              <w:rPr>
                <w:b/>
              </w:rPr>
              <w:t>49/ISR/N</w:t>
            </w:r>
            <w:r w:rsidRPr="00AB7CA1">
              <w:rPr>
                <w:b/>
              </w:rPr>
              <w:tab/>
            </w:r>
            <w:r w:rsidRPr="00AB7CA1">
              <w:t>Operación de maquila para los efectos de la Ley del ISR. Mercancías con las que deben realizarse los procesos de transformación o reparación.</w:t>
            </w:r>
          </w:p>
        </w:tc>
      </w:tr>
      <w:tr w:rsidR="0098530D" w:rsidRPr="00AB7CA1" w14:paraId="243B646F" w14:textId="77777777" w:rsidTr="00552502">
        <w:tblPrEx>
          <w:tblCellMar>
            <w:top w:w="0" w:type="dxa"/>
            <w:bottom w:w="0" w:type="dxa"/>
          </w:tblCellMar>
        </w:tblPrEx>
        <w:trPr>
          <w:cantSplit/>
          <w:trHeight w:val="20"/>
        </w:trPr>
        <w:tc>
          <w:tcPr>
            <w:tcW w:w="5000" w:type="pct"/>
            <w:tcBorders>
              <w:top w:val="nil"/>
              <w:bottom w:val="nil"/>
            </w:tcBorders>
          </w:tcPr>
          <w:p w14:paraId="1097A256" w14:textId="77777777" w:rsidR="0098530D" w:rsidRPr="00AB7CA1" w:rsidRDefault="0098530D" w:rsidP="00552502">
            <w:pPr>
              <w:pStyle w:val="Texto"/>
              <w:spacing w:before="40" w:after="40" w:line="222" w:lineRule="exact"/>
              <w:ind w:left="2016" w:hanging="1152"/>
            </w:pPr>
            <w:r w:rsidRPr="00AB7CA1">
              <w:rPr>
                <w:b/>
              </w:rPr>
              <w:t>50/ISR/N</w:t>
            </w:r>
            <w:r w:rsidRPr="00AB7CA1">
              <w:rPr>
                <w:b/>
              </w:rPr>
              <w:tab/>
            </w:r>
            <w:r w:rsidRPr="00AB7CA1">
              <w:t>Operación de maquila para los efectos del Decreto IMMEX. Porcentaje de la maquinaria y equipo que se utiliza.</w:t>
            </w:r>
          </w:p>
        </w:tc>
      </w:tr>
      <w:tr w:rsidR="0098530D" w:rsidRPr="00AB7CA1" w14:paraId="36E40F46" w14:textId="77777777" w:rsidTr="00552502">
        <w:tblPrEx>
          <w:tblCellMar>
            <w:top w:w="0" w:type="dxa"/>
            <w:bottom w:w="0" w:type="dxa"/>
          </w:tblCellMar>
        </w:tblPrEx>
        <w:trPr>
          <w:cantSplit/>
          <w:trHeight w:val="20"/>
        </w:trPr>
        <w:tc>
          <w:tcPr>
            <w:tcW w:w="5000" w:type="pct"/>
            <w:tcBorders>
              <w:top w:val="nil"/>
              <w:bottom w:val="nil"/>
            </w:tcBorders>
          </w:tcPr>
          <w:p w14:paraId="1588A9BA" w14:textId="77777777" w:rsidR="0098530D" w:rsidRPr="00AB7CA1" w:rsidRDefault="0098530D" w:rsidP="00552502">
            <w:pPr>
              <w:pStyle w:val="Texto"/>
              <w:spacing w:before="40" w:after="40" w:line="222" w:lineRule="exact"/>
              <w:ind w:left="2016" w:hanging="1152"/>
            </w:pPr>
            <w:r w:rsidRPr="00AB7CA1">
              <w:rPr>
                <w:b/>
              </w:rPr>
              <w:t>51/ISR/N</w:t>
            </w:r>
            <w:r w:rsidRPr="00AB7CA1">
              <w:rPr>
                <w:b/>
              </w:rPr>
              <w:tab/>
            </w:r>
            <w:r w:rsidRPr="00AB7CA1">
              <w:t>Actualización. No se considera ingreso acumulable para efectos del cálculo del ISR.</w:t>
            </w:r>
          </w:p>
        </w:tc>
      </w:tr>
      <w:tr w:rsidR="0098530D" w:rsidRPr="00AB7CA1" w14:paraId="02B792B2" w14:textId="77777777" w:rsidTr="00552502">
        <w:tblPrEx>
          <w:tblCellMar>
            <w:top w:w="0" w:type="dxa"/>
            <w:bottom w:w="0" w:type="dxa"/>
          </w:tblCellMar>
        </w:tblPrEx>
        <w:trPr>
          <w:cantSplit/>
          <w:trHeight w:val="20"/>
        </w:trPr>
        <w:tc>
          <w:tcPr>
            <w:tcW w:w="5000" w:type="pct"/>
            <w:tcBorders>
              <w:top w:val="nil"/>
              <w:bottom w:val="nil"/>
            </w:tcBorders>
          </w:tcPr>
          <w:p w14:paraId="662ACDF0" w14:textId="77777777" w:rsidR="0098530D" w:rsidRPr="00AB7CA1" w:rsidRDefault="0098530D" w:rsidP="00552502">
            <w:pPr>
              <w:pStyle w:val="Texto"/>
              <w:spacing w:before="40" w:after="40" w:line="222" w:lineRule="exact"/>
              <w:ind w:left="2016" w:hanging="1152"/>
              <w:rPr>
                <w:b/>
              </w:rPr>
            </w:pPr>
            <w:r w:rsidRPr="00AB7CA1">
              <w:rPr>
                <w:b/>
              </w:rPr>
              <w:t>52/ISR/</w:t>
            </w:r>
          </w:p>
          <w:p w14:paraId="132B6468" w14:textId="77777777" w:rsidR="0098530D" w:rsidRPr="00AB7CA1" w:rsidRDefault="0098530D" w:rsidP="00552502">
            <w:pPr>
              <w:pStyle w:val="Texto"/>
              <w:spacing w:before="40" w:after="40" w:line="222" w:lineRule="exact"/>
              <w:ind w:left="2016" w:hanging="1152"/>
            </w:pPr>
            <w:r w:rsidRPr="00AB7CA1">
              <w:rPr>
                <w:b/>
              </w:rPr>
              <w:t>IETU/N</w:t>
            </w:r>
            <w:r w:rsidRPr="00AB7CA1">
              <w:rPr>
                <w:b/>
              </w:rPr>
              <w:tab/>
            </w:r>
            <w:r w:rsidRPr="00AB7CA1">
              <w:t>Acreditamiento del ISR contra el IETU a solicitud del contribuyente, cuando existan resoluciones determinantes.</w:t>
            </w:r>
          </w:p>
        </w:tc>
      </w:tr>
      <w:tr w:rsidR="0098530D" w:rsidRPr="00AB7CA1" w14:paraId="688E6D1C" w14:textId="77777777" w:rsidTr="00552502">
        <w:tblPrEx>
          <w:tblCellMar>
            <w:top w:w="0" w:type="dxa"/>
            <w:bottom w:w="0" w:type="dxa"/>
          </w:tblCellMar>
        </w:tblPrEx>
        <w:trPr>
          <w:cantSplit/>
          <w:trHeight w:val="20"/>
        </w:trPr>
        <w:tc>
          <w:tcPr>
            <w:tcW w:w="5000" w:type="pct"/>
            <w:tcBorders>
              <w:top w:val="nil"/>
              <w:bottom w:val="nil"/>
            </w:tcBorders>
          </w:tcPr>
          <w:p w14:paraId="578370E2" w14:textId="77777777" w:rsidR="0098530D" w:rsidRPr="00AB7CA1" w:rsidRDefault="0098530D" w:rsidP="00552502">
            <w:pPr>
              <w:pStyle w:val="Texto"/>
              <w:spacing w:before="40" w:after="40" w:line="222" w:lineRule="exact"/>
              <w:ind w:left="2016" w:hanging="1152"/>
            </w:pPr>
            <w:r w:rsidRPr="00AB7CA1">
              <w:rPr>
                <w:b/>
              </w:rPr>
              <w:t>53/ISR/N</w:t>
            </w:r>
            <w:r w:rsidRPr="00AB7CA1">
              <w:rPr>
                <w:b/>
              </w:rPr>
              <w:tab/>
            </w:r>
            <w:r w:rsidRPr="00AB7CA1">
              <w:t>Momento en que se considera percibido un dividendo o utilidad distribuido mediante la entrega de acciones de la misma persona moral para fines de la acumulación a los demás ingresos de las personas físicas y la aplicación del impuesto adicional</w:t>
            </w:r>
            <w:r>
              <w:t xml:space="preserve"> </w:t>
            </w:r>
            <w:r w:rsidRPr="00AB7CA1">
              <w:t>del 10%.</w:t>
            </w:r>
          </w:p>
        </w:tc>
      </w:tr>
      <w:tr w:rsidR="0098530D" w:rsidRPr="00AB7CA1" w14:paraId="0E9D18DA" w14:textId="77777777" w:rsidTr="00552502">
        <w:tblPrEx>
          <w:tblCellMar>
            <w:top w:w="0" w:type="dxa"/>
            <w:bottom w:w="0" w:type="dxa"/>
          </w:tblCellMar>
        </w:tblPrEx>
        <w:trPr>
          <w:cantSplit/>
          <w:trHeight w:val="20"/>
        </w:trPr>
        <w:tc>
          <w:tcPr>
            <w:tcW w:w="5000" w:type="pct"/>
            <w:tcBorders>
              <w:top w:val="nil"/>
              <w:bottom w:val="nil"/>
            </w:tcBorders>
          </w:tcPr>
          <w:p w14:paraId="3AFCC84E" w14:textId="77777777" w:rsidR="0098530D" w:rsidRPr="00AB7CA1" w:rsidRDefault="0098530D" w:rsidP="00552502">
            <w:pPr>
              <w:pStyle w:val="Texto"/>
              <w:spacing w:before="40" w:after="40" w:line="222" w:lineRule="exact"/>
              <w:ind w:left="2016" w:hanging="1152"/>
            </w:pPr>
            <w:r w:rsidRPr="00AB7CA1">
              <w:rPr>
                <w:b/>
              </w:rPr>
              <w:t>54/ISR/N</w:t>
            </w:r>
            <w:r w:rsidRPr="00AB7CA1">
              <w:rPr>
                <w:b/>
              </w:rPr>
              <w:tab/>
            </w:r>
            <w:r w:rsidRPr="00AB7CA1">
              <w:t>Gas de empaque. El utilizado en el servicio de transporte de gas natural tiene la naturaleza de activo fijo.</w:t>
            </w:r>
          </w:p>
        </w:tc>
      </w:tr>
      <w:tr w:rsidR="0098530D" w:rsidRPr="00AB7CA1" w14:paraId="14E75C2A" w14:textId="77777777" w:rsidTr="00552502">
        <w:tblPrEx>
          <w:tblCellMar>
            <w:top w:w="0" w:type="dxa"/>
            <w:bottom w:w="0" w:type="dxa"/>
          </w:tblCellMar>
        </w:tblPrEx>
        <w:trPr>
          <w:cantSplit/>
          <w:trHeight w:val="20"/>
        </w:trPr>
        <w:tc>
          <w:tcPr>
            <w:tcW w:w="5000" w:type="pct"/>
            <w:tcBorders>
              <w:top w:val="nil"/>
              <w:bottom w:val="nil"/>
            </w:tcBorders>
          </w:tcPr>
          <w:p w14:paraId="3BCF25BB" w14:textId="77777777" w:rsidR="0098530D" w:rsidRPr="00AB7CA1" w:rsidRDefault="0098530D" w:rsidP="00552502">
            <w:pPr>
              <w:pStyle w:val="Texto"/>
              <w:spacing w:before="40" w:after="40" w:line="222" w:lineRule="exact"/>
              <w:ind w:left="2016" w:hanging="1152"/>
            </w:pPr>
            <w:r w:rsidRPr="00AB7CA1">
              <w:rPr>
                <w:b/>
              </w:rPr>
              <w:t>55/ISR/N</w:t>
            </w:r>
            <w:r w:rsidRPr="00AB7CA1">
              <w:rPr>
                <w:b/>
              </w:rPr>
              <w:tab/>
            </w:r>
            <w:r w:rsidRPr="00AB7CA1">
              <w:t>Beneficios empresariales para los efectos de los tratados para evitar la doble tributación y su relación con el artículo 175, fracción VI de la Ley del ISR.</w:t>
            </w:r>
          </w:p>
        </w:tc>
      </w:tr>
      <w:tr w:rsidR="0098530D" w:rsidRPr="00AB7CA1" w14:paraId="219E05B8" w14:textId="77777777" w:rsidTr="00552502">
        <w:tblPrEx>
          <w:tblCellMar>
            <w:top w:w="0" w:type="dxa"/>
            <w:bottom w:w="0" w:type="dxa"/>
          </w:tblCellMar>
        </w:tblPrEx>
        <w:trPr>
          <w:cantSplit/>
          <w:trHeight w:val="20"/>
        </w:trPr>
        <w:tc>
          <w:tcPr>
            <w:tcW w:w="5000" w:type="pct"/>
            <w:tcBorders>
              <w:top w:val="nil"/>
              <w:bottom w:val="nil"/>
            </w:tcBorders>
          </w:tcPr>
          <w:p w14:paraId="0AC779F3" w14:textId="77777777" w:rsidR="0098530D" w:rsidRPr="00AB7CA1" w:rsidRDefault="0098530D" w:rsidP="00552502">
            <w:pPr>
              <w:pStyle w:val="Texto"/>
              <w:spacing w:before="40" w:after="40" w:line="222" w:lineRule="exact"/>
              <w:ind w:left="2016" w:hanging="1152"/>
            </w:pPr>
            <w:r w:rsidRPr="00AB7CA1">
              <w:rPr>
                <w:b/>
              </w:rPr>
              <w:t>56/ISR/N</w:t>
            </w:r>
            <w:r w:rsidRPr="00AB7CA1">
              <w:rPr>
                <w:b/>
              </w:rPr>
              <w:tab/>
            </w:r>
            <w:r w:rsidRPr="00AB7CA1">
              <w:t>Autorización. Requisitos para ser donataria autorizada.</w:t>
            </w:r>
          </w:p>
        </w:tc>
      </w:tr>
      <w:tr w:rsidR="0098530D" w:rsidRPr="00AB7CA1" w14:paraId="3DECCA6F" w14:textId="77777777" w:rsidTr="00552502">
        <w:tblPrEx>
          <w:tblCellMar>
            <w:top w:w="0" w:type="dxa"/>
            <w:bottom w:w="0" w:type="dxa"/>
          </w:tblCellMar>
        </w:tblPrEx>
        <w:trPr>
          <w:cantSplit/>
          <w:trHeight w:val="20"/>
        </w:trPr>
        <w:tc>
          <w:tcPr>
            <w:tcW w:w="5000" w:type="pct"/>
            <w:tcBorders>
              <w:top w:val="nil"/>
              <w:bottom w:val="nil"/>
            </w:tcBorders>
          </w:tcPr>
          <w:p w14:paraId="464E1E4A" w14:textId="77777777" w:rsidR="0098530D" w:rsidRPr="00AB7CA1" w:rsidRDefault="0098530D" w:rsidP="00552502">
            <w:pPr>
              <w:pStyle w:val="Texto"/>
              <w:spacing w:before="40" w:after="40" w:line="222" w:lineRule="exact"/>
              <w:ind w:left="2016" w:hanging="1152"/>
            </w:pPr>
            <w:r w:rsidRPr="00AB7CA1">
              <w:rPr>
                <w:b/>
              </w:rPr>
              <w:t>57/ISR/N</w:t>
            </w:r>
            <w:r w:rsidRPr="00AB7CA1">
              <w:tab/>
              <w:t>Donativos otorgados por Donatarias Autorizadas a organizaciones extranjeras.</w:t>
            </w:r>
          </w:p>
        </w:tc>
      </w:tr>
      <w:tr w:rsidR="0098530D" w:rsidRPr="00AB7CA1" w14:paraId="7B3AE30E" w14:textId="77777777" w:rsidTr="00552502">
        <w:tblPrEx>
          <w:tblCellMar>
            <w:top w:w="0" w:type="dxa"/>
            <w:bottom w:w="0" w:type="dxa"/>
          </w:tblCellMar>
        </w:tblPrEx>
        <w:trPr>
          <w:cantSplit/>
          <w:trHeight w:val="20"/>
        </w:trPr>
        <w:tc>
          <w:tcPr>
            <w:tcW w:w="5000" w:type="pct"/>
            <w:tcBorders>
              <w:top w:val="nil"/>
            </w:tcBorders>
          </w:tcPr>
          <w:p w14:paraId="401EDE17" w14:textId="77777777" w:rsidR="0098530D" w:rsidRPr="00AB7CA1" w:rsidRDefault="0098530D" w:rsidP="00552502">
            <w:pPr>
              <w:pStyle w:val="Texto"/>
              <w:spacing w:before="40" w:after="40" w:line="222" w:lineRule="exact"/>
              <w:ind w:left="2016" w:hanging="1152"/>
            </w:pPr>
            <w:r w:rsidRPr="00AB7CA1">
              <w:rPr>
                <w:b/>
              </w:rPr>
              <w:t>58/ISR/N</w:t>
            </w:r>
            <w:r w:rsidRPr="00AB7CA1">
              <w:rPr>
                <w:b/>
              </w:rPr>
              <w:tab/>
            </w:r>
            <w:r w:rsidRPr="00AB7CA1">
              <w:t>Beneficios del tratado para evitar la doble tributación entre México y Qatar. Interpretación de los textos en español e inglés.</w:t>
            </w:r>
          </w:p>
        </w:tc>
      </w:tr>
      <w:tr w:rsidR="0098530D" w:rsidRPr="00AB7CA1" w14:paraId="45AA1238" w14:textId="77777777" w:rsidTr="00552502">
        <w:tblPrEx>
          <w:tblCellMar>
            <w:top w:w="0" w:type="dxa"/>
            <w:bottom w:w="0" w:type="dxa"/>
          </w:tblCellMar>
        </w:tblPrEx>
        <w:trPr>
          <w:cantSplit/>
          <w:trHeight w:val="20"/>
        </w:trPr>
        <w:tc>
          <w:tcPr>
            <w:tcW w:w="5000" w:type="pct"/>
            <w:tcBorders>
              <w:bottom w:val="single" w:sz="6" w:space="0" w:color="auto"/>
            </w:tcBorders>
            <w:shd w:val="pct12" w:color="auto" w:fill="auto"/>
          </w:tcPr>
          <w:p w14:paraId="1D2593F6" w14:textId="77777777" w:rsidR="0098530D" w:rsidRPr="00AB7CA1" w:rsidRDefault="0098530D" w:rsidP="00552502">
            <w:pPr>
              <w:pStyle w:val="Texto"/>
              <w:spacing w:before="40" w:after="40" w:line="222" w:lineRule="exact"/>
              <w:ind w:left="864" w:hanging="432"/>
              <w:rPr>
                <w:b/>
              </w:rPr>
            </w:pPr>
            <w:r w:rsidRPr="00AB7CA1">
              <w:rPr>
                <w:b/>
              </w:rPr>
              <w:t>III.</w:t>
            </w:r>
            <w:r w:rsidRPr="00AB7CA1">
              <w:rPr>
                <w:b/>
              </w:rPr>
              <w:tab/>
              <w:t>Criterios de la Ley del IVA</w:t>
            </w:r>
          </w:p>
        </w:tc>
      </w:tr>
      <w:tr w:rsidR="0098530D" w:rsidRPr="00AB7CA1" w14:paraId="473C36FB" w14:textId="77777777" w:rsidTr="00552502">
        <w:tblPrEx>
          <w:tblCellMar>
            <w:top w:w="0" w:type="dxa"/>
            <w:bottom w:w="0" w:type="dxa"/>
          </w:tblCellMar>
        </w:tblPrEx>
        <w:trPr>
          <w:cantSplit/>
          <w:trHeight w:val="20"/>
        </w:trPr>
        <w:tc>
          <w:tcPr>
            <w:tcW w:w="5000" w:type="pct"/>
            <w:tcBorders>
              <w:bottom w:val="nil"/>
            </w:tcBorders>
          </w:tcPr>
          <w:p w14:paraId="2889BD9F" w14:textId="77777777" w:rsidR="0098530D" w:rsidRPr="00AB7CA1" w:rsidRDefault="0098530D" w:rsidP="00552502">
            <w:pPr>
              <w:pStyle w:val="Texto"/>
              <w:spacing w:before="40" w:after="40" w:line="222" w:lineRule="exact"/>
              <w:ind w:left="2016" w:hanging="1152"/>
            </w:pPr>
            <w:r w:rsidRPr="00AB7CA1">
              <w:rPr>
                <w:b/>
              </w:rPr>
              <w:t>1/IVA/N</w:t>
            </w:r>
            <w:r w:rsidRPr="00AB7CA1">
              <w:rPr>
                <w:b/>
              </w:rPr>
              <w:tab/>
            </w:r>
            <w:r w:rsidRPr="00AB7CA1">
              <w:t>La contraprestación pagada con acciones o partes sociales por aportaciones en especie a sociedades mercantiles, se considera efectivamente cobrada con la entrega de las mismas.</w:t>
            </w:r>
          </w:p>
        </w:tc>
      </w:tr>
      <w:tr w:rsidR="0098530D" w:rsidRPr="00AB7CA1" w14:paraId="26F7AFEE" w14:textId="77777777" w:rsidTr="00552502">
        <w:tblPrEx>
          <w:tblCellMar>
            <w:top w:w="0" w:type="dxa"/>
            <w:bottom w:w="0" w:type="dxa"/>
          </w:tblCellMar>
        </w:tblPrEx>
        <w:trPr>
          <w:cantSplit/>
          <w:trHeight w:val="20"/>
        </w:trPr>
        <w:tc>
          <w:tcPr>
            <w:tcW w:w="5000" w:type="pct"/>
            <w:tcBorders>
              <w:top w:val="nil"/>
              <w:bottom w:val="nil"/>
            </w:tcBorders>
          </w:tcPr>
          <w:p w14:paraId="6C161A31" w14:textId="77777777" w:rsidR="0098530D" w:rsidRPr="00AB7CA1" w:rsidRDefault="0098530D" w:rsidP="00552502">
            <w:pPr>
              <w:pStyle w:val="Texto"/>
              <w:spacing w:before="40" w:after="40" w:line="222" w:lineRule="exact"/>
              <w:ind w:left="2016" w:hanging="1152"/>
            </w:pPr>
            <w:r w:rsidRPr="00AB7CA1">
              <w:rPr>
                <w:b/>
              </w:rPr>
              <w:t>2/IVA/N</w:t>
            </w:r>
            <w:r w:rsidRPr="00AB7CA1">
              <w:rPr>
                <w:b/>
              </w:rPr>
              <w:tab/>
            </w:r>
            <w:r w:rsidRPr="00AB7CA1">
              <w:t>Indemnización por cheque no pagado. El monto de la misma no es objeto del IVA.</w:t>
            </w:r>
          </w:p>
        </w:tc>
      </w:tr>
      <w:tr w:rsidR="0098530D" w:rsidRPr="00AB7CA1" w14:paraId="328ED294" w14:textId="77777777" w:rsidTr="00552502">
        <w:tblPrEx>
          <w:tblCellMar>
            <w:top w:w="0" w:type="dxa"/>
            <w:bottom w:w="0" w:type="dxa"/>
          </w:tblCellMar>
        </w:tblPrEx>
        <w:trPr>
          <w:cantSplit/>
          <w:trHeight w:val="20"/>
        </w:trPr>
        <w:tc>
          <w:tcPr>
            <w:tcW w:w="5000" w:type="pct"/>
            <w:tcBorders>
              <w:top w:val="nil"/>
              <w:bottom w:val="nil"/>
            </w:tcBorders>
          </w:tcPr>
          <w:p w14:paraId="0725071F" w14:textId="77777777" w:rsidR="0098530D" w:rsidRPr="00AB7CA1" w:rsidRDefault="0098530D" w:rsidP="00552502">
            <w:pPr>
              <w:pStyle w:val="Texto"/>
              <w:spacing w:before="40" w:after="40" w:line="222" w:lineRule="exact"/>
              <w:ind w:left="2016" w:hanging="1152"/>
            </w:pPr>
            <w:r w:rsidRPr="00AB7CA1">
              <w:rPr>
                <w:b/>
              </w:rPr>
              <w:t>3/IVA/N</w:t>
            </w:r>
            <w:r w:rsidRPr="00AB7CA1">
              <w:rPr>
                <w:b/>
              </w:rPr>
              <w:tab/>
            </w:r>
            <w:r w:rsidRPr="00AB7CA1">
              <w:t>Retenciones del IVA. No proceden por servicios prestados como actividad empresarial.</w:t>
            </w:r>
          </w:p>
        </w:tc>
      </w:tr>
      <w:tr w:rsidR="0098530D" w:rsidRPr="00AB7CA1" w14:paraId="7C2E2C4E" w14:textId="77777777" w:rsidTr="00552502">
        <w:tblPrEx>
          <w:tblCellMar>
            <w:top w:w="0" w:type="dxa"/>
            <w:bottom w:w="0" w:type="dxa"/>
          </w:tblCellMar>
        </w:tblPrEx>
        <w:trPr>
          <w:cantSplit/>
          <w:trHeight w:val="20"/>
        </w:trPr>
        <w:tc>
          <w:tcPr>
            <w:tcW w:w="5000" w:type="pct"/>
            <w:tcBorders>
              <w:top w:val="nil"/>
              <w:bottom w:val="nil"/>
            </w:tcBorders>
          </w:tcPr>
          <w:p w14:paraId="2C3158F3" w14:textId="77777777" w:rsidR="0098530D" w:rsidRPr="00AB7CA1" w:rsidRDefault="0098530D" w:rsidP="00552502">
            <w:pPr>
              <w:pStyle w:val="Texto"/>
              <w:spacing w:before="40" w:after="40" w:line="222" w:lineRule="exact"/>
              <w:ind w:left="2016" w:hanging="1152"/>
            </w:pPr>
            <w:r w:rsidRPr="00AB7CA1">
              <w:rPr>
                <w:b/>
              </w:rPr>
              <w:t>4/IVA/N</w:t>
            </w:r>
            <w:r w:rsidRPr="00AB7CA1">
              <w:rPr>
                <w:b/>
              </w:rPr>
              <w:tab/>
            </w:r>
            <w:r w:rsidRPr="00AB7CA1">
              <w:t>Servicios de mensajería y paquetería. No se encuentran sujetos a la retención</w:t>
            </w:r>
            <w:r>
              <w:t xml:space="preserve"> </w:t>
            </w:r>
            <w:r w:rsidRPr="00AB7CA1">
              <w:t>del IVA.</w:t>
            </w:r>
          </w:p>
        </w:tc>
      </w:tr>
      <w:tr w:rsidR="0098530D" w:rsidRPr="00AB7CA1" w14:paraId="04DC9F94" w14:textId="77777777" w:rsidTr="00552502">
        <w:tblPrEx>
          <w:tblCellMar>
            <w:top w:w="0" w:type="dxa"/>
            <w:bottom w:w="0" w:type="dxa"/>
          </w:tblCellMar>
        </w:tblPrEx>
        <w:trPr>
          <w:cantSplit/>
          <w:trHeight w:val="20"/>
        </w:trPr>
        <w:tc>
          <w:tcPr>
            <w:tcW w:w="5000" w:type="pct"/>
            <w:tcBorders>
              <w:top w:val="nil"/>
              <w:bottom w:val="nil"/>
            </w:tcBorders>
          </w:tcPr>
          <w:p w14:paraId="126697DC" w14:textId="77777777" w:rsidR="0098530D" w:rsidRPr="00AB7CA1" w:rsidRDefault="0098530D" w:rsidP="00552502">
            <w:pPr>
              <w:pStyle w:val="Texto"/>
              <w:spacing w:before="40" w:after="40" w:line="222" w:lineRule="exact"/>
              <w:ind w:left="2016" w:hanging="1152"/>
            </w:pPr>
            <w:r w:rsidRPr="00AB7CA1">
              <w:rPr>
                <w:b/>
              </w:rPr>
              <w:t>5/IVA/N</w:t>
            </w:r>
            <w:r w:rsidRPr="00AB7CA1">
              <w:rPr>
                <w:b/>
              </w:rPr>
              <w:tab/>
            </w:r>
            <w:r w:rsidRPr="00AB7CA1">
              <w:t>Transmisión de deudas. Momento en que se considera efectivamente cobrada la contraprestación y pagado el impuesto.</w:t>
            </w:r>
          </w:p>
        </w:tc>
      </w:tr>
      <w:tr w:rsidR="0098530D" w:rsidRPr="00AB7CA1" w14:paraId="76B85C38" w14:textId="77777777" w:rsidTr="00552502">
        <w:tblPrEx>
          <w:tblCellMar>
            <w:top w:w="0" w:type="dxa"/>
            <w:bottom w:w="0" w:type="dxa"/>
          </w:tblCellMar>
        </w:tblPrEx>
        <w:trPr>
          <w:cantSplit/>
          <w:trHeight w:val="20"/>
        </w:trPr>
        <w:tc>
          <w:tcPr>
            <w:tcW w:w="5000" w:type="pct"/>
            <w:tcBorders>
              <w:top w:val="nil"/>
              <w:bottom w:val="nil"/>
            </w:tcBorders>
          </w:tcPr>
          <w:p w14:paraId="1EE29D46" w14:textId="77777777" w:rsidR="0098530D" w:rsidRPr="00AB7CA1" w:rsidRDefault="0098530D" w:rsidP="00552502">
            <w:pPr>
              <w:pStyle w:val="Texto"/>
              <w:spacing w:before="40" w:after="40" w:line="222" w:lineRule="exact"/>
              <w:ind w:left="2016" w:hanging="1152"/>
            </w:pPr>
            <w:r w:rsidRPr="00AB7CA1">
              <w:rPr>
                <w:b/>
              </w:rPr>
              <w:t>6/IVA/N</w:t>
            </w:r>
            <w:r w:rsidRPr="00AB7CA1">
              <w:rPr>
                <w:b/>
              </w:rPr>
              <w:tab/>
            </w:r>
            <w:r w:rsidRPr="00AB7CA1">
              <w:t>Enajenación de colmenas polinizadoras.</w:t>
            </w:r>
          </w:p>
        </w:tc>
      </w:tr>
      <w:tr w:rsidR="0098530D" w:rsidRPr="00AB7CA1" w14:paraId="154BBDF5" w14:textId="77777777" w:rsidTr="00552502">
        <w:tblPrEx>
          <w:tblCellMar>
            <w:top w:w="0" w:type="dxa"/>
            <w:bottom w:w="0" w:type="dxa"/>
          </w:tblCellMar>
        </w:tblPrEx>
        <w:trPr>
          <w:cantSplit/>
          <w:trHeight w:val="20"/>
        </w:trPr>
        <w:tc>
          <w:tcPr>
            <w:tcW w:w="5000" w:type="pct"/>
            <w:tcBorders>
              <w:top w:val="nil"/>
              <w:bottom w:val="nil"/>
            </w:tcBorders>
          </w:tcPr>
          <w:p w14:paraId="19B6CFB9" w14:textId="77777777" w:rsidR="0098530D" w:rsidRPr="00AB7CA1" w:rsidRDefault="0098530D" w:rsidP="00552502">
            <w:pPr>
              <w:pStyle w:val="Texto"/>
              <w:spacing w:before="40" w:after="40" w:line="222" w:lineRule="exact"/>
              <w:ind w:left="2016" w:hanging="1152"/>
            </w:pPr>
            <w:r w:rsidRPr="00AB7CA1">
              <w:rPr>
                <w:b/>
              </w:rPr>
              <w:t>7/IVA/N</w:t>
            </w:r>
            <w:r w:rsidRPr="00AB7CA1">
              <w:rPr>
                <w:b/>
              </w:rPr>
              <w:tab/>
            </w:r>
            <w:r w:rsidRPr="00AB7CA1">
              <w:t>Enajenación de pieles frescas.</w:t>
            </w:r>
          </w:p>
        </w:tc>
      </w:tr>
      <w:tr w:rsidR="0098530D" w:rsidRPr="00AB7CA1" w14:paraId="78C93C1A" w14:textId="77777777" w:rsidTr="00552502">
        <w:tblPrEx>
          <w:tblCellMar>
            <w:top w:w="0" w:type="dxa"/>
            <w:bottom w:w="0" w:type="dxa"/>
          </w:tblCellMar>
        </w:tblPrEx>
        <w:trPr>
          <w:cantSplit/>
          <w:trHeight w:val="20"/>
        </w:trPr>
        <w:tc>
          <w:tcPr>
            <w:tcW w:w="5000" w:type="pct"/>
            <w:tcBorders>
              <w:top w:val="nil"/>
              <w:bottom w:val="nil"/>
            </w:tcBorders>
          </w:tcPr>
          <w:p w14:paraId="15C31A00" w14:textId="77777777" w:rsidR="0098530D" w:rsidRPr="00AB7CA1" w:rsidRDefault="0098530D" w:rsidP="00552502">
            <w:pPr>
              <w:pStyle w:val="Texto"/>
              <w:spacing w:before="40" w:after="40" w:line="222" w:lineRule="exact"/>
              <w:ind w:left="2016" w:hanging="1152"/>
            </w:pPr>
            <w:r w:rsidRPr="00AB7CA1">
              <w:rPr>
                <w:b/>
              </w:rPr>
              <w:t>8/IVA/N</w:t>
            </w:r>
            <w:r w:rsidRPr="00AB7CA1">
              <w:rPr>
                <w:b/>
              </w:rPr>
              <w:tab/>
            </w:r>
            <w:r w:rsidRPr="00AB7CA1">
              <w:t>Medicinas de patente.</w:t>
            </w:r>
          </w:p>
        </w:tc>
      </w:tr>
      <w:tr w:rsidR="0098530D" w:rsidRPr="00AB7CA1" w14:paraId="1B84F6A5" w14:textId="77777777" w:rsidTr="00552502">
        <w:tblPrEx>
          <w:tblCellMar>
            <w:top w:w="0" w:type="dxa"/>
            <w:bottom w:w="0" w:type="dxa"/>
          </w:tblCellMar>
        </w:tblPrEx>
        <w:trPr>
          <w:cantSplit/>
          <w:trHeight w:val="20"/>
        </w:trPr>
        <w:tc>
          <w:tcPr>
            <w:tcW w:w="5000" w:type="pct"/>
            <w:tcBorders>
              <w:top w:val="nil"/>
              <w:bottom w:val="nil"/>
            </w:tcBorders>
          </w:tcPr>
          <w:p w14:paraId="5B13A3EF" w14:textId="77777777" w:rsidR="0098530D" w:rsidRPr="00AB7CA1" w:rsidRDefault="0098530D" w:rsidP="00552502">
            <w:pPr>
              <w:pStyle w:val="Texto"/>
              <w:spacing w:before="40" w:after="40" w:line="222" w:lineRule="exact"/>
              <w:ind w:left="2016" w:hanging="1152"/>
            </w:pPr>
            <w:r w:rsidRPr="00AB7CA1">
              <w:rPr>
                <w:b/>
              </w:rPr>
              <w:lastRenderedPageBreak/>
              <w:t>9/IVA/N</w:t>
            </w:r>
            <w:r w:rsidRPr="00AB7CA1">
              <w:rPr>
                <w:b/>
              </w:rPr>
              <w:tab/>
            </w:r>
            <w:r w:rsidRPr="00AB7CA1">
              <w:t>Suministro de medicamentos como parte de los servicios de un hospital. Se debe considerar la tasa general del IVA.</w:t>
            </w:r>
          </w:p>
        </w:tc>
      </w:tr>
      <w:tr w:rsidR="0098530D" w:rsidRPr="00AB7CA1" w14:paraId="589E0EBC" w14:textId="77777777" w:rsidTr="00552502">
        <w:tblPrEx>
          <w:tblCellMar>
            <w:top w:w="0" w:type="dxa"/>
            <w:bottom w:w="0" w:type="dxa"/>
          </w:tblCellMar>
        </w:tblPrEx>
        <w:trPr>
          <w:cantSplit/>
          <w:trHeight w:val="20"/>
        </w:trPr>
        <w:tc>
          <w:tcPr>
            <w:tcW w:w="5000" w:type="pct"/>
            <w:tcBorders>
              <w:top w:val="nil"/>
              <w:bottom w:val="nil"/>
            </w:tcBorders>
          </w:tcPr>
          <w:p w14:paraId="56F6E438" w14:textId="77777777" w:rsidR="0098530D" w:rsidRPr="00AB7CA1" w:rsidRDefault="0098530D" w:rsidP="00552502">
            <w:pPr>
              <w:pStyle w:val="Texto"/>
              <w:spacing w:before="40" w:after="40" w:line="222" w:lineRule="exact"/>
              <w:ind w:left="2016" w:hanging="1152"/>
            </w:pPr>
            <w:r w:rsidRPr="00AB7CA1">
              <w:rPr>
                <w:b/>
              </w:rPr>
              <w:t>10/IVA/N</w:t>
            </w:r>
            <w:r w:rsidRPr="00AB7CA1">
              <w:rPr>
                <w:b/>
              </w:rPr>
              <w:tab/>
            </w:r>
            <w:r w:rsidRPr="00AB7CA1">
              <w:t>Productos destinados a la alimentación humana y animal.</w:t>
            </w:r>
          </w:p>
        </w:tc>
      </w:tr>
      <w:tr w:rsidR="0098530D" w:rsidRPr="00AB7CA1" w14:paraId="48C77FCE" w14:textId="77777777" w:rsidTr="00552502">
        <w:tblPrEx>
          <w:tblCellMar>
            <w:top w:w="0" w:type="dxa"/>
            <w:bottom w:w="0" w:type="dxa"/>
          </w:tblCellMar>
        </w:tblPrEx>
        <w:trPr>
          <w:cantSplit/>
          <w:trHeight w:val="20"/>
        </w:trPr>
        <w:tc>
          <w:tcPr>
            <w:tcW w:w="5000" w:type="pct"/>
            <w:tcBorders>
              <w:top w:val="nil"/>
              <w:bottom w:val="nil"/>
            </w:tcBorders>
          </w:tcPr>
          <w:p w14:paraId="42A82CB2" w14:textId="77777777" w:rsidR="0098530D" w:rsidRPr="00AB7CA1" w:rsidRDefault="0098530D" w:rsidP="00552502">
            <w:pPr>
              <w:pStyle w:val="Texto"/>
              <w:spacing w:before="40" w:after="40" w:line="222" w:lineRule="exact"/>
              <w:ind w:left="2016" w:hanging="1152"/>
            </w:pPr>
            <w:r w:rsidRPr="00AB7CA1">
              <w:rPr>
                <w:b/>
              </w:rPr>
              <w:t>11/IVA/N</w:t>
            </w:r>
            <w:r w:rsidRPr="00AB7CA1">
              <w:rPr>
                <w:b/>
              </w:rPr>
              <w:tab/>
            </w:r>
            <w:r w:rsidRPr="00AB7CA1">
              <w:t>Suplementos alimenticios. No se consideran como productos destinados a la alimentación.</w:t>
            </w:r>
          </w:p>
        </w:tc>
      </w:tr>
      <w:tr w:rsidR="0098530D" w:rsidRPr="00AB7CA1" w14:paraId="272B5D19" w14:textId="77777777" w:rsidTr="00552502">
        <w:tblPrEx>
          <w:tblCellMar>
            <w:top w:w="0" w:type="dxa"/>
            <w:bottom w:w="0" w:type="dxa"/>
          </w:tblCellMar>
        </w:tblPrEx>
        <w:trPr>
          <w:cantSplit/>
          <w:trHeight w:val="20"/>
        </w:trPr>
        <w:tc>
          <w:tcPr>
            <w:tcW w:w="5000" w:type="pct"/>
            <w:tcBorders>
              <w:top w:val="nil"/>
              <w:bottom w:val="nil"/>
            </w:tcBorders>
          </w:tcPr>
          <w:p w14:paraId="287EE531" w14:textId="77777777" w:rsidR="0098530D" w:rsidRPr="00AB7CA1" w:rsidRDefault="0098530D" w:rsidP="00552502">
            <w:pPr>
              <w:pStyle w:val="Texto"/>
              <w:spacing w:before="40" w:after="40" w:line="222" w:lineRule="exact"/>
              <w:ind w:left="2016" w:hanging="1152"/>
            </w:pPr>
            <w:r w:rsidRPr="00AB7CA1">
              <w:rPr>
                <w:b/>
              </w:rPr>
              <w:t>12/IVA/N</w:t>
            </w:r>
            <w:r w:rsidRPr="00AB7CA1">
              <w:rPr>
                <w:b/>
              </w:rPr>
              <w:tab/>
            </w:r>
            <w:r w:rsidRPr="00AB7CA1">
              <w:t>Concepto de leche para efectos del IVA.</w:t>
            </w:r>
          </w:p>
        </w:tc>
      </w:tr>
      <w:tr w:rsidR="0098530D" w:rsidRPr="00AB7CA1" w14:paraId="0AB977BC" w14:textId="77777777" w:rsidTr="00552502">
        <w:tblPrEx>
          <w:tblCellMar>
            <w:top w:w="0" w:type="dxa"/>
            <w:bottom w:w="0" w:type="dxa"/>
          </w:tblCellMar>
        </w:tblPrEx>
        <w:trPr>
          <w:cantSplit/>
          <w:trHeight w:val="20"/>
        </w:trPr>
        <w:tc>
          <w:tcPr>
            <w:tcW w:w="5000" w:type="pct"/>
            <w:tcBorders>
              <w:top w:val="nil"/>
              <w:bottom w:val="nil"/>
            </w:tcBorders>
          </w:tcPr>
          <w:p w14:paraId="459F48D2" w14:textId="77777777" w:rsidR="0098530D" w:rsidRPr="00AB7CA1" w:rsidRDefault="0098530D" w:rsidP="00552502">
            <w:pPr>
              <w:pStyle w:val="Texto"/>
              <w:spacing w:before="40" w:after="40" w:line="222" w:lineRule="exact"/>
              <w:ind w:left="2016" w:hanging="1152"/>
            </w:pPr>
            <w:r w:rsidRPr="00AB7CA1">
              <w:rPr>
                <w:b/>
              </w:rPr>
              <w:t>13/IVA/N</w:t>
            </w:r>
            <w:r w:rsidRPr="00AB7CA1">
              <w:rPr>
                <w:b/>
              </w:rPr>
              <w:tab/>
            </w:r>
            <w:r w:rsidRPr="00AB7CA1">
              <w:t>Alimentos preparados.</w:t>
            </w:r>
          </w:p>
        </w:tc>
      </w:tr>
      <w:tr w:rsidR="0098530D" w:rsidRPr="00AB7CA1" w14:paraId="2B719149" w14:textId="77777777" w:rsidTr="00552502">
        <w:tblPrEx>
          <w:tblCellMar>
            <w:top w:w="0" w:type="dxa"/>
            <w:bottom w:w="0" w:type="dxa"/>
          </w:tblCellMar>
        </w:tblPrEx>
        <w:trPr>
          <w:cantSplit/>
          <w:trHeight w:val="20"/>
        </w:trPr>
        <w:tc>
          <w:tcPr>
            <w:tcW w:w="5000" w:type="pct"/>
            <w:tcBorders>
              <w:top w:val="nil"/>
              <w:bottom w:val="nil"/>
            </w:tcBorders>
          </w:tcPr>
          <w:p w14:paraId="083319CD" w14:textId="77777777" w:rsidR="0098530D" w:rsidRPr="00AB7CA1" w:rsidRDefault="0098530D" w:rsidP="00552502">
            <w:pPr>
              <w:pStyle w:val="Texto"/>
              <w:spacing w:before="40" w:after="40" w:line="222" w:lineRule="exact"/>
              <w:ind w:left="2016" w:hanging="1152"/>
            </w:pPr>
            <w:r w:rsidRPr="00AB7CA1">
              <w:rPr>
                <w:b/>
              </w:rPr>
              <w:t>14/IVA/N</w:t>
            </w:r>
            <w:r w:rsidRPr="00AB7CA1">
              <w:rPr>
                <w:b/>
              </w:rPr>
              <w:tab/>
            </w:r>
            <w:r w:rsidRPr="00AB7CA1">
              <w:t>Alimentos preparados para su consumo en el lugar de su enajenación.</w:t>
            </w:r>
          </w:p>
        </w:tc>
      </w:tr>
      <w:tr w:rsidR="0098530D" w:rsidRPr="00AB7CA1" w14:paraId="1A695ED5" w14:textId="77777777" w:rsidTr="00552502">
        <w:tblPrEx>
          <w:tblCellMar>
            <w:top w:w="0" w:type="dxa"/>
            <w:bottom w:w="0" w:type="dxa"/>
          </w:tblCellMar>
        </w:tblPrEx>
        <w:trPr>
          <w:cantSplit/>
          <w:trHeight w:val="20"/>
        </w:trPr>
        <w:tc>
          <w:tcPr>
            <w:tcW w:w="5000" w:type="pct"/>
            <w:tcBorders>
              <w:top w:val="nil"/>
              <w:bottom w:val="nil"/>
            </w:tcBorders>
          </w:tcPr>
          <w:p w14:paraId="3EDF5FC2" w14:textId="77777777" w:rsidR="0098530D" w:rsidRPr="00AB7CA1" w:rsidRDefault="0098530D" w:rsidP="00552502">
            <w:pPr>
              <w:pStyle w:val="Texto"/>
              <w:spacing w:before="40" w:after="40" w:line="222" w:lineRule="exact"/>
              <w:ind w:left="2016" w:hanging="1152"/>
            </w:pPr>
            <w:r w:rsidRPr="00AB7CA1">
              <w:rPr>
                <w:b/>
              </w:rPr>
              <w:t>15/IVA/N</w:t>
            </w:r>
            <w:r w:rsidRPr="00AB7CA1">
              <w:rPr>
                <w:b/>
              </w:rPr>
              <w:tab/>
            </w:r>
            <w:r w:rsidRPr="00AB7CA1">
              <w:t>Enajenación de refacciones para equipo agrícola.</w:t>
            </w:r>
          </w:p>
        </w:tc>
      </w:tr>
      <w:tr w:rsidR="0098530D" w:rsidRPr="00AB7CA1" w14:paraId="47B7C087" w14:textId="77777777" w:rsidTr="00552502">
        <w:tblPrEx>
          <w:tblCellMar>
            <w:top w:w="0" w:type="dxa"/>
            <w:bottom w:w="0" w:type="dxa"/>
          </w:tblCellMar>
        </w:tblPrEx>
        <w:trPr>
          <w:cantSplit/>
          <w:trHeight w:val="20"/>
        </w:trPr>
        <w:tc>
          <w:tcPr>
            <w:tcW w:w="5000" w:type="pct"/>
            <w:tcBorders>
              <w:top w:val="nil"/>
              <w:bottom w:val="single" w:sz="6" w:space="0" w:color="auto"/>
            </w:tcBorders>
          </w:tcPr>
          <w:p w14:paraId="5767E48C" w14:textId="77777777" w:rsidR="0098530D" w:rsidRPr="00AB7CA1" w:rsidRDefault="0098530D" w:rsidP="00552502">
            <w:pPr>
              <w:pStyle w:val="Texto"/>
              <w:spacing w:before="40" w:after="40" w:line="222" w:lineRule="exact"/>
              <w:ind w:left="2016" w:hanging="1152"/>
            </w:pPr>
            <w:r w:rsidRPr="00AB7CA1">
              <w:rPr>
                <w:b/>
              </w:rPr>
              <w:t>16/IVA/N</w:t>
            </w:r>
            <w:r w:rsidRPr="00AB7CA1">
              <w:rPr>
                <w:b/>
              </w:rPr>
              <w:tab/>
            </w:r>
            <w:r w:rsidRPr="00AB7CA1">
              <w:t>Equipos integrados a invernaderos hidropónicos.</w:t>
            </w:r>
          </w:p>
        </w:tc>
      </w:tr>
      <w:tr w:rsidR="0098530D" w:rsidRPr="00AB7CA1" w14:paraId="1498B1A7" w14:textId="77777777" w:rsidTr="00552502">
        <w:tblPrEx>
          <w:tblCellMar>
            <w:top w:w="0" w:type="dxa"/>
            <w:bottom w:w="0" w:type="dxa"/>
          </w:tblCellMar>
        </w:tblPrEx>
        <w:trPr>
          <w:cantSplit/>
          <w:trHeight w:val="20"/>
        </w:trPr>
        <w:tc>
          <w:tcPr>
            <w:tcW w:w="5000" w:type="pct"/>
            <w:tcBorders>
              <w:top w:val="single" w:sz="6" w:space="0" w:color="auto"/>
              <w:bottom w:val="nil"/>
            </w:tcBorders>
          </w:tcPr>
          <w:p w14:paraId="6F61C392" w14:textId="77777777" w:rsidR="0098530D" w:rsidRPr="00AB7CA1" w:rsidRDefault="0098530D" w:rsidP="00552502">
            <w:pPr>
              <w:pStyle w:val="Texto"/>
              <w:spacing w:before="40" w:after="40" w:line="213" w:lineRule="exact"/>
              <w:ind w:left="2016" w:hanging="1152"/>
            </w:pPr>
            <w:r w:rsidRPr="00AB7CA1">
              <w:rPr>
                <w:b/>
              </w:rPr>
              <w:t>17/IVA/N</w:t>
            </w:r>
            <w:r w:rsidRPr="00AB7CA1">
              <w:rPr>
                <w:b/>
              </w:rPr>
              <w:tab/>
            </w:r>
            <w:r w:rsidRPr="00AB7CA1">
              <w:t>Libros contenidos en medios electrónicos, táctiles o auditivos. Tratamiento en materia de IVA.</w:t>
            </w:r>
          </w:p>
        </w:tc>
      </w:tr>
      <w:tr w:rsidR="0098530D" w:rsidRPr="00AB7CA1" w14:paraId="05D3750D" w14:textId="77777777" w:rsidTr="00552502">
        <w:tblPrEx>
          <w:tblCellMar>
            <w:top w:w="0" w:type="dxa"/>
            <w:bottom w:w="0" w:type="dxa"/>
          </w:tblCellMar>
        </w:tblPrEx>
        <w:trPr>
          <w:cantSplit/>
          <w:trHeight w:val="20"/>
        </w:trPr>
        <w:tc>
          <w:tcPr>
            <w:tcW w:w="5000" w:type="pct"/>
            <w:tcBorders>
              <w:top w:val="nil"/>
              <w:bottom w:val="nil"/>
            </w:tcBorders>
          </w:tcPr>
          <w:p w14:paraId="40E3FFA7" w14:textId="77777777" w:rsidR="0098530D" w:rsidRPr="00AB7CA1" w:rsidRDefault="0098530D" w:rsidP="00552502">
            <w:pPr>
              <w:pStyle w:val="Texto"/>
              <w:spacing w:before="40" w:after="40" w:line="213" w:lineRule="exact"/>
              <w:ind w:left="2016" w:hanging="1152"/>
            </w:pPr>
            <w:r w:rsidRPr="00AB7CA1">
              <w:rPr>
                <w:b/>
              </w:rPr>
              <w:t>18/IVA/N</w:t>
            </w:r>
            <w:r w:rsidRPr="00AB7CA1">
              <w:rPr>
                <w:b/>
              </w:rPr>
              <w:tab/>
            </w:r>
            <w:r w:rsidRPr="00AB7CA1">
              <w:t>Cargos entre líneas aéreas.</w:t>
            </w:r>
          </w:p>
        </w:tc>
      </w:tr>
      <w:tr w:rsidR="0098530D" w:rsidRPr="00AB7CA1" w14:paraId="15E5F30D" w14:textId="77777777" w:rsidTr="00552502">
        <w:tblPrEx>
          <w:tblCellMar>
            <w:top w:w="0" w:type="dxa"/>
            <w:bottom w:w="0" w:type="dxa"/>
          </w:tblCellMar>
        </w:tblPrEx>
        <w:trPr>
          <w:cantSplit/>
          <w:trHeight w:val="20"/>
        </w:trPr>
        <w:tc>
          <w:tcPr>
            <w:tcW w:w="5000" w:type="pct"/>
            <w:tcBorders>
              <w:top w:val="nil"/>
              <w:bottom w:val="nil"/>
            </w:tcBorders>
          </w:tcPr>
          <w:p w14:paraId="1C3E1CDC" w14:textId="77777777" w:rsidR="0098530D" w:rsidRPr="00AB7CA1" w:rsidRDefault="0098530D" w:rsidP="00552502">
            <w:pPr>
              <w:pStyle w:val="Texto"/>
              <w:spacing w:before="40" w:after="40" w:line="213" w:lineRule="exact"/>
              <w:ind w:left="2016" w:hanging="1152"/>
            </w:pPr>
            <w:r w:rsidRPr="00AB7CA1">
              <w:rPr>
                <w:b/>
              </w:rPr>
              <w:t>19/IVA/N</w:t>
            </w:r>
            <w:r w:rsidRPr="00AB7CA1">
              <w:rPr>
                <w:b/>
              </w:rPr>
              <w:tab/>
            </w:r>
            <w:r w:rsidRPr="00AB7CA1">
              <w:t>Prestación de servicios a sociedades dedicadas a actividades agrícolas y ganaderas.</w:t>
            </w:r>
          </w:p>
        </w:tc>
      </w:tr>
      <w:tr w:rsidR="0098530D" w:rsidRPr="00AB7CA1" w14:paraId="5DE99B9D" w14:textId="77777777" w:rsidTr="00552502">
        <w:tblPrEx>
          <w:tblCellMar>
            <w:top w:w="0" w:type="dxa"/>
            <w:bottom w:w="0" w:type="dxa"/>
          </w:tblCellMar>
        </w:tblPrEx>
        <w:trPr>
          <w:cantSplit/>
          <w:trHeight w:val="20"/>
        </w:trPr>
        <w:tc>
          <w:tcPr>
            <w:tcW w:w="5000" w:type="pct"/>
            <w:tcBorders>
              <w:top w:val="nil"/>
              <w:bottom w:val="nil"/>
            </w:tcBorders>
          </w:tcPr>
          <w:p w14:paraId="31A9E602" w14:textId="77777777" w:rsidR="0098530D" w:rsidRPr="00AB7CA1" w:rsidRDefault="0098530D" w:rsidP="00552502">
            <w:pPr>
              <w:pStyle w:val="Texto"/>
              <w:spacing w:before="40" w:after="40" w:line="213" w:lineRule="exact"/>
              <w:ind w:left="2016" w:hanging="1152"/>
            </w:pPr>
            <w:r w:rsidRPr="00AB7CA1">
              <w:rPr>
                <w:b/>
              </w:rPr>
              <w:t>20/IVA/N</w:t>
            </w:r>
            <w:r w:rsidRPr="00AB7CA1">
              <w:rPr>
                <w:b/>
              </w:rPr>
              <w:tab/>
            </w:r>
            <w:r w:rsidRPr="00AB7CA1">
              <w:t>Prestación de servicios en invernaderos hidropónicos. Aplicación de la tasa del 0%.</w:t>
            </w:r>
          </w:p>
        </w:tc>
      </w:tr>
      <w:tr w:rsidR="0098530D" w:rsidRPr="00AB7CA1" w14:paraId="3839A222" w14:textId="77777777" w:rsidTr="00552502">
        <w:tblPrEx>
          <w:tblCellMar>
            <w:top w:w="0" w:type="dxa"/>
            <w:bottom w:w="0" w:type="dxa"/>
          </w:tblCellMar>
        </w:tblPrEx>
        <w:trPr>
          <w:cantSplit/>
          <w:trHeight w:val="20"/>
        </w:trPr>
        <w:tc>
          <w:tcPr>
            <w:tcW w:w="5000" w:type="pct"/>
            <w:tcBorders>
              <w:top w:val="nil"/>
              <w:bottom w:val="nil"/>
            </w:tcBorders>
          </w:tcPr>
          <w:p w14:paraId="6603BB69" w14:textId="77777777" w:rsidR="0098530D" w:rsidRPr="00AB7CA1" w:rsidRDefault="0098530D" w:rsidP="00552502">
            <w:pPr>
              <w:pStyle w:val="Texto"/>
              <w:spacing w:before="40" w:after="40" w:line="213" w:lineRule="exact"/>
              <w:ind w:left="2016" w:hanging="1152"/>
            </w:pPr>
            <w:r w:rsidRPr="00AB7CA1">
              <w:rPr>
                <w:b/>
              </w:rPr>
              <w:t>21/IVA/N</w:t>
            </w:r>
            <w:r w:rsidRPr="00AB7CA1">
              <w:rPr>
                <w:b/>
              </w:rPr>
              <w:tab/>
            </w:r>
            <w:r w:rsidRPr="00AB7CA1">
              <w:t>IVA en importaciones que realice la Federación, los Estados, los Municipios, así como sus organismos descentralizados y las instituciones públicas de seguridad social.</w:t>
            </w:r>
          </w:p>
        </w:tc>
      </w:tr>
      <w:tr w:rsidR="0098530D" w:rsidRPr="00AB7CA1" w14:paraId="272EEA34" w14:textId="77777777" w:rsidTr="00552502">
        <w:tblPrEx>
          <w:tblCellMar>
            <w:top w:w="0" w:type="dxa"/>
            <w:bottom w:w="0" w:type="dxa"/>
          </w:tblCellMar>
        </w:tblPrEx>
        <w:trPr>
          <w:cantSplit/>
          <w:trHeight w:val="20"/>
        </w:trPr>
        <w:tc>
          <w:tcPr>
            <w:tcW w:w="5000" w:type="pct"/>
            <w:tcBorders>
              <w:top w:val="nil"/>
              <w:bottom w:val="nil"/>
            </w:tcBorders>
          </w:tcPr>
          <w:p w14:paraId="160DB6EA" w14:textId="77777777" w:rsidR="0098530D" w:rsidRPr="00AB7CA1" w:rsidRDefault="0098530D" w:rsidP="00552502">
            <w:pPr>
              <w:pStyle w:val="Texto"/>
              <w:spacing w:before="40" w:after="40" w:line="213" w:lineRule="exact"/>
              <w:ind w:left="2016" w:hanging="1152"/>
            </w:pPr>
            <w:r w:rsidRPr="00AB7CA1">
              <w:rPr>
                <w:b/>
              </w:rPr>
              <w:t>22/IVA/N</w:t>
            </w:r>
            <w:r w:rsidRPr="00AB7CA1">
              <w:rPr>
                <w:b/>
              </w:rPr>
              <w:tab/>
            </w:r>
            <w:r w:rsidRPr="00AB7CA1">
              <w:rPr>
                <w:lang w:val="es-ES_tradnl"/>
              </w:rPr>
              <w:t>Cálculo de la proporción de acreditamiento cuando se realicen actividades exentas a título gratuito</w:t>
            </w:r>
            <w:r w:rsidRPr="00AB7CA1">
              <w:t>.</w:t>
            </w:r>
          </w:p>
        </w:tc>
      </w:tr>
      <w:tr w:rsidR="0098530D" w:rsidRPr="00AB7CA1" w14:paraId="7BB286F8" w14:textId="77777777" w:rsidTr="00552502">
        <w:tblPrEx>
          <w:tblCellMar>
            <w:top w:w="0" w:type="dxa"/>
            <w:bottom w:w="0" w:type="dxa"/>
          </w:tblCellMar>
        </w:tblPrEx>
        <w:trPr>
          <w:cantSplit/>
          <w:trHeight w:val="20"/>
        </w:trPr>
        <w:tc>
          <w:tcPr>
            <w:tcW w:w="5000" w:type="pct"/>
            <w:tcBorders>
              <w:top w:val="nil"/>
              <w:bottom w:val="nil"/>
            </w:tcBorders>
          </w:tcPr>
          <w:p w14:paraId="4DDB9366" w14:textId="77777777" w:rsidR="0098530D" w:rsidRPr="00AB7CA1" w:rsidRDefault="0098530D" w:rsidP="00552502">
            <w:pPr>
              <w:pStyle w:val="Texto"/>
              <w:spacing w:before="40" w:after="40" w:line="213" w:lineRule="exact"/>
              <w:ind w:left="2016" w:hanging="1152"/>
            </w:pPr>
            <w:r w:rsidRPr="00AB7CA1">
              <w:rPr>
                <w:b/>
              </w:rPr>
              <w:t>23/IVA/N</w:t>
            </w:r>
            <w:r w:rsidRPr="00AB7CA1">
              <w:rPr>
                <w:b/>
              </w:rPr>
              <w:tab/>
            </w:r>
            <w:r w:rsidRPr="00AB7CA1">
              <w:t>Saldos a favor del IVA. El remanente de un saldo a favor, si este último previamente se acreditó contra un pago posterior a la declaración en la que se determinó, debe seguirse acreditando hasta agotarlo.</w:t>
            </w:r>
          </w:p>
        </w:tc>
      </w:tr>
      <w:tr w:rsidR="0098530D" w:rsidRPr="00AB7CA1" w14:paraId="5947E8DC" w14:textId="77777777" w:rsidTr="00552502">
        <w:tblPrEx>
          <w:tblCellMar>
            <w:top w:w="0" w:type="dxa"/>
            <w:bottom w:w="0" w:type="dxa"/>
          </w:tblCellMar>
        </w:tblPrEx>
        <w:trPr>
          <w:cantSplit/>
          <w:trHeight w:val="20"/>
        </w:trPr>
        <w:tc>
          <w:tcPr>
            <w:tcW w:w="5000" w:type="pct"/>
            <w:tcBorders>
              <w:top w:val="nil"/>
              <w:bottom w:val="nil"/>
            </w:tcBorders>
          </w:tcPr>
          <w:p w14:paraId="0AF0CCE9" w14:textId="77777777" w:rsidR="0098530D" w:rsidRPr="00AB7CA1" w:rsidRDefault="0098530D" w:rsidP="00552502">
            <w:pPr>
              <w:pStyle w:val="Texto"/>
              <w:spacing w:before="40" w:after="40" w:line="213" w:lineRule="exact"/>
              <w:ind w:left="2016" w:hanging="1152"/>
            </w:pPr>
            <w:r w:rsidRPr="00AB7CA1">
              <w:rPr>
                <w:b/>
              </w:rPr>
              <w:t>24/IVA/N</w:t>
            </w:r>
            <w:r w:rsidRPr="00AB7CA1">
              <w:rPr>
                <w:b/>
              </w:rPr>
              <w:tab/>
            </w:r>
            <w:r w:rsidRPr="00AB7CA1">
              <w:t>Reembolsos o reintegros en especie. Constituyen enajenación.</w:t>
            </w:r>
          </w:p>
          <w:p w14:paraId="52F1C103" w14:textId="77777777" w:rsidR="0098530D" w:rsidRPr="00AB7CA1" w:rsidRDefault="0098530D" w:rsidP="00552502">
            <w:pPr>
              <w:pStyle w:val="Texto"/>
              <w:spacing w:before="40" w:after="40" w:line="213" w:lineRule="exact"/>
              <w:ind w:left="2016" w:hanging="1152"/>
            </w:pPr>
            <w:r w:rsidRPr="00AB7CA1">
              <w:rPr>
                <w:b/>
              </w:rPr>
              <w:t>25/IVA/N</w:t>
            </w:r>
            <w:r w:rsidRPr="00AB7CA1">
              <w:rPr>
                <w:b/>
              </w:rPr>
              <w:tab/>
            </w:r>
            <w:r w:rsidRPr="00AB7CA1">
              <w:t>Enajenación de piedra, arena y tierra. No son bienes inmuebles.</w:t>
            </w:r>
          </w:p>
          <w:p w14:paraId="1F867D0A" w14:textId="77777777" w:rsidR="0098530D" w:rsidRPr="00AB7CA1" w:rsidRDefault="0098530D" w:rsidP="00552502">
            <w:pPr>
              <w:pStyle w:val="Texto"/>
              <w:spacing w:before="40" w:after="40" w:line="213" w:lineRule="exact"/>
              <w:ind w:left="2016" w:hanging="1152"/>
            </w:pPr>
            <w:r w:rsidRPr="00AB7CA1">
              <w:rPr>
                <w:b/>
              </w:rPr>
              <w:t>26/IVA/N</w:t>
            </w:r>
            <w:r w:rsidRPr="00AB7CA1">
              <w:rPr>
                <w:b/>
              </w:rPr>
              <w:tab/>
            </w:r>
            <w:r w:rsidRPr="00AB7CA1">
              <w:t>Enajenación de casa habitación. La disposición que establece que no se pagará el IVA no abarca a servicios parciales en su construcción.</w:t>
            </w:r>
          </w:p>
          <w:p w14:paraId="0577A029" w14:textId="77777777" w:rsidR="0098530D" w:rsidRPr="00AB7CA1" w:rsidRDefault="0098530D" w:rsidP="00552502">
            <w:pPr>
              <w:pStyle w:val="Texto"/>
              <w:spacing w:before="40" w:after="40" w:line="213" w:lineRule="exact"/>
              <w:ind w:left="2016" w:hanging="1152"/>
            </w:pPr>
            <w:r w:rsidRPr="00AB7CA1">
              <w:rPr>
                <w:b/>
              </w:rPr>
              <w:t>27/IVA/N</w:t>
            </w:r>
            <w:r w:rsidRPr="00AB7CA1">
              <w:rPr>
                <w:b/>
              </w:rPr>
              <w:tab/>
            </w:r>
            <w:r w:rsidRPr="00AB7CA1">
              <w:t>Exención. Comisiones por el otorgamiento de créditos hipotecarios para vivienda.</w:t>
            </w:r>
          </w:p>
        </w:tc>
      </w:tr>
      <w:tr w:rsidR="0098530D" w:rsidRPr="00AB7CA1" w14:paraId="10A6131A" w14:textId="77777777" w:rsidTr="00552502">
        <w:tblPrEx>
          <w:tblCellMar>
            <w:top w:w="0" w:type="dxa"/>
            <w:bottom w:w="0" w:type="dxa"/>
          </w:tblCellMar>
        </w:tblPrEx>
        <w:trPr>
          <w:cantSplit/>
          <w:trHeight w:val="20"/>
        </w:trPr>
        <w:tc>
          <w:tcPr>
            <w:tcW w:w="5000" w:type="pct"/>
            <w:tcBorders>
              <w:top w:val="nil"/>
              <w:bottom w:val="nil"/>
            </w:tcBorders>
          </w:tcPr>
          <w:p w14:paraId="36BD20F4" w14:textId="77777777" w:rsidR="0098530D" w:rsidRPr="00AB7CA1" w:rsidRDefault="0098530D" w:rsidP="00552502">
            <w:pPr>
              <w:pStyle w:val="Texto"/>
              <w:spacing w:before="40" w:after="40" w:line="213" w:lineRule="exact"/>
              <w:ind w:left="2016" w:hanging="1152"/>
            </w:pPr>
            <w:r w:rsidRPr="00AB7CA1">
              <w:rPr>
                <w:b/>
              </w:rPr>
              <w:t>28/IVA/N</w:t>
            </w:r>
            <w:r w:rsidRPr="00AB7CA1">
              <w:rPr>
                <w:b/>
              </w:rPr>
              <w:tab/>
            </w:r>
            <w:r w:rsidRPr="00AB7CA1">
              <w:t>Intereses moratorios.</w:t>
            </w:r>
          </w:p>
        </w:tc>
      </w:tr>
      <w:tr w:rsidR="0098530D" w:rsidRPr="00AB7CA1" w14:paraId="405627E0" w14:textId="77777777" w:rsidTr="00552502">
        <w:tblPrEx>
          <w:tblCellMar>
            <w:top w:w="0" w:type="dxa"/>
            <w:bottom w:w="0" w:type="dxa"/>
          </w:tblCellMar>
        </w:tblPrEx>
        <w:trPr>
          <w:cantSplit/>
          <w:trHeight w:val="20"/>
        </w:trPr>
        <w:tc>
          <w:tcPr>
            <w:tcW w:w="5000" w:type="pct"/>
            <w:tcBorders>
              <w:top w:val="nil"/>
              <w:bottom w:val="nil"/>
            </w:tcBorders>
          </w:tcPr>
          <w:p w14:paraId="4E37737B" w14:textId="77777777" w:rsidR="0098530D" w:rsidRPr="00AB7CA1" w:rsidRDefault="0098530D" w:rsidP="00552502">
            <w:pPr>
              <w:pStyle w:val="Texto"/>
              <w:spacing w:before="40" w:after="40" w:line="213" w:lineRule="exact"/>
              <w:ind w:left="2016" w:hanging="1152"/>
            </w:pPr>
            <w:r w:rsidRPr="00AB7CA1">
              <w:rPr>
                <w:b/>
              </w:rPr>
              <w:t>29/IVA/N</w:t>
            </w:r>
            <w:r w:rsidRPr="00AB7CA1">
              <w:rPr>
                <w:b/>
              </w:rPr>
              <w:tab/>
            </w:r>
            <w:r w:rsidRPr="00AB7CA1">
              <w:t>Intereses en financiamientos de actos gravados a la tasa del 0% o exentos.</w:t>
            </w:r>
          </w:p>
        </w:tc>
      </w:tr>
      <w:tr w:rsidR="0098530D" w:rsidRPr="00AB7CA1" w14:paraId="153B198E" w14:textId="77777777" w:rsidTr="00552502">
        <w:tblPrEx>
          <w:tblCellMar>
            <w:top w:w="0" w:type="dxa"/>
            <w:bottom w:w="0" w:type="dxa"/>
          </w:tblCellMar>
        </w:tblPrEx>
        <w:trPr>
          <w:cantSplit/>
          <w:trHeight w:val="20"/>
        </w:trPr>
        <w:tc>
          <w:tcPr>
            <w:tcW w:w="5000" w:type="pct"/>
            <w:tcBorders>
              <w:top w:val="nil"/>
              <w:bottom w:val="nil"/>
            </w:tcBorders>
          </w:tcPr>
          <w:p w14:paraId="44448F52" w14:textId="77777777" w:rsidR="0098530D" w:rsidRPr="00AB7CA1" w:rsidRDefault="0098530D" w:rsidP="00552502">
            <w:pPr>
              <w:pStyle w:val="Texto"/>
              <w:spacing w:before="40" w:after="40" w:line="213" w:lineRule="exact"/>
              <w:ind w:left="2016" w:hanging="1152"/>
            </w:pPr>
            <w:r w:rsidRPr="00AB7CA1">
              <w:rPr>
                <w:b/>
              </w:rPr>
              <w:t>30/IVA/N</w:t>
            </w:r>
            <w:r w:rsidRPr="00AB7CA1">
              <w:rPr>
                <w:b/>
              </w:rPr>
              <w:tab/>
            </w:r>
            <w:r w:rsidRPr="00AB7CA1">
              <w:t>Propinas. No forman parte de la base gravable del IVA.</w:t>
            </w:r>
          </w:p>
        </w:tc>
      </w:tr>
      <w:tr w:rsidR="0098530D" w:rsidRPr="00AB7CA1" w14:paraId="74C75004" w14:textId="77777777" w:rsidTr="00552502">
        <w:tblPrEx>
          <w:tblCellMar>
            <w:top w:w="0" w:type="dxa"/>
            <w:bottom w:w="0" w:type="dxa"/>
          </w:tblCellMar>
        </w:tblPrEx>
        <w:trPr>
          <w:cantSplit/>
          <w:trHeight w:val="20"/>
        </w:trPr>
        <w:tc>
          <w:tcPr>
            <w:tcW w:w="5000" w:type="pct"/>
            <w:tcBorders>
              <w:top w:val="nil"/>
              <w:bottom w:val="nil"/>
            </w:tcBorders>
          </w:tcPr>
          <w:p w14:paraId="17500B1F" w14:textId="77777777" w:rsidR="0098530D" w:rsidRPr="00AB7CA1" w:rsidRDefault="0098530D" w:rsidP="00552502">
            <w:pPr>
              <w:pStyle w:val="Texto"/>
              <w:spacing w:before="40" w:after="40" w:line="213" w:lineRule="exact"/>
              <w:ind w:left="2016" w:hanging="1152"/>
            </w:pPr>
            <w:r w:rsidRPr="00AB7CA1">
              <w:rPr>
                <w:b/>
              </w:rPr>
              <w:t>31/IVA/N</w:t>
            </w:r>
            <w:r w:rsidRPr="00AB7CA1">
              <w:rPr>
                <w:b/>
              </w:rPr>
              <w:tab/>
            </w:r>
            <w:r w:rsidRPr="00AB7CA1">
              <w:t>IVA. Base del impuesto por la prestación del servicio de emisión de vales y monederos electrónicos.</w:t>
            </w:r>
          </w:p>
        </w:tc>
      </w:tr>
      <w:tr w:rsidR="0098530D" w:rsidRPr="00AB7CA1" w14:paraId="7ACD5E9A" w14:textId="77777777" w:rsidTr="00552502">
        <w:tblPrEx>
          <w:tblCellMar>
            <w:top w:w="0" w:type="dxa"/>
            <w:bottom w:w="0" w:type="dxa"/>
          </w:tblCellMar>
        </w:tblPrEx>
        <w:trPr>
          <w:cantSplit/>
          <w:trHeight w:val="20"/>
        </w:trPr>
        <w:tc>
          <w:tcPr>
            <w:tcW w:w="5000" w:type="pct"/>
            <w:tcBorders>
              <w:top w:val="nil"/>
              <w:bottom w:val="nil"/>
            </w:tcBorders>
          </w:tcPr>
          <w:p w14:paraId="1D55ACA8" w14:textId="77777777" w:rsidR="0098530D" w:rsidRPr="00AB7CA1" w:rsidRDefault="0098530D" w:rsidP="00552502">
            <w:pPr>
              <w:pStyle w:val="Texto"/>
              <w:spacing w:before="40" w:after="40" w:line="213" w:lineRule="exact"/>
              <w:ind w:left="2016" w:hanging="1152"/>
            </w:pPr>
            <w:r w:rsidRPr="00AB7CA1">
              <w:rPr>
                <w:b/>
              </w:rPr>
              <w:t>32/IVA/N</w:t>
            </w:r>
            <w:r w:rsidRPr="00AB7CA1">
              <w:rPr>
                <w:b/>
              </w:rPr>
              <w:tab/>
            </w:r>
            <w:r w:rsidRPr="00AB7CA1">
              <w:t>IVA. Es exenta la importación de mercancías gravadas a la tasa del 0%.</w:t>
            </w:r>
          </w:p>
        </w:tc>
      </w:tr>
      <w:tr w:rsidR="0098530D" w:rsidRPr="00AB7CA1" w14:paraId="7D0FBE07" w14:textId="77777777" w:rsidTr="00552502">
        <w:tblPrEx>
          <w:tblCellMar>
            <w:top w:w="0" w:type="dxa"/>
            <w:bottom w:w="0" w:type="dxa"/>
          </w:tblCellMar>
        </w:tblPrEx>
        <w:trPr>
          <w:cantSplit/>
          <w:trHeight w:val="20"/>
        </w:trPr>
        <w:tc>
          <w:tcPr>
            <w:tcW w:w="5000" w:type="pct"/>
            <w:tcBorders>
              <w:top w:val="nil"/>
              <w:bottom w:val="nil"/>
            </w:tcBorders>
          </w:tcPr>
          <w:p w14:paraId="33B33547" w14:textId="77777777" w:rsidR="0098530D" w:rsidRPr="00AB7CA1" w:rsidRDefault="0098530D" w:rsidP="00552502">
            <w:pPr>
              <w:pStyle w:val="Texto"/>
              <w:spacing w:before="40" w:after="40" w:line="213" w:lineRule="exact"/>
              <w:ind w:left="2016" w:hanging="1152"/>
            </w:pPr>
            <w:r w:rsidRPr="00AB7CA1">
              <w:rPr>
                <w:b/>
              </w:rPr>
              <w:t>33/IVA/N</w:t>
            </w:r>
            <w:r w:rsidRPr="00AB7CA1">
              <w:rPr>
                <w:b/>
              </w:rPr>
              <w:tab/>
            </w:r>
            <w:r w:rsidRPr="00AB7CA1">
              <w:t>Disposición aplicable para determinar las importaciones de oro por las cuales no se pagará IVA.</w:t>
            </w:r>
          </w:p>
        </w:tc>
      </w:tr>
      <w:tr w:rsidR="0098530D" w:rsidRPr="00AB7CA1" w14:paraId="19998519" w14:textId="77777777" w:rsidTr="00552502">
        <w:tblPrEx>
          <w:tblCellMar>
            <w:top w:w="0" w:type="dxa"/>
            <w:bottom w:w="0" w:type="dxa"/>
          </w:tblCellMar>
        </w:tblPrEx>
        <w:trPr>
          <w:cantSplit/>
          <w:trHeight w:val="20"/>
        </w:trPr>
        <w:tc>
          <w:tcPr>
            <w:tcW w:w="5000" w:type="pct"/>
            <w:tcBorders>
              <w:top w:val="nil"/>
              <w:bottom w:val="nil"/>
            </w:tcBorders>
          </w:tcPr>
          <w:p w14:paraId="5FFA1F8E" w14:textId="77777777" w:rsidR="0098530D" w:rsidRPr="00AB7CA1" w:rsidRDefault="0098530D" w:rsidP="00552502">
            <w:pPr>
              <w:pStyle w:val="Texto"/>
              <w:spacing w:before="40" w:after="40" w:line="214" w:lineRule="exact"/>
              <w:ind w:left="2016" w:hanging="1152"/>
            </w:pPr>
            <w:r w:rsidRPr="00AB7CA1">
              <w:rPr>
                <w:b/>
              </w:rPr>
              <w:t>34/IVA/N</w:t>
            </w:r>
            <w:r w:rsidRPr="00AB7CA1">
              <w:rPr>
                <w:b/>
              </w:rPr>
              <w:tab/>
            </w:r>
            <w:r w:rsidRPr="00AB7CA1">
              <w:t>Pago y acreditamiento del IVA por importaciones, cuando las actividades del importador estén gravadas a la tasa del 0%.</w:t>
            </w:r>
          </w:p>
        </w:tc>
      </w:tr>
      <w:tr w:rsidR="0098530D" w:rsidRPr="00AB7CA1" w14:paraId="0CA837CA" w14:textId="77777777" w:rsidTr="00552502">
        <w:tblPrEx>
          <w:tblCellMar>
            <w:top w:w="0" w:type="dxa"/>
            <w:bottom w:w="0" w:type="dxa"/>
          </w:tblCellMar>
        </w:tblPrEx>
        <w:trPr>
          <w:cantSplit/>
          <w:trHeight w:val="20"/>
        </w:trPr>
        <w:tc>
          <w:tcPr>
            <w:tcW w:w="5000" w:type="pct"/>
            <w:tcBorders>
              <w:top w:val="nil"/>
              <w:bottom w:val="nil"/>
            </w:tcBorders>
          </w:tcPr>
          <w:p w14:paraId="3193C2E2" w14:textId="77777777" w:rsidR="0098530D" w:rsidRPr="00AB7CA1" w:rsidRDefault="0098530D" w:rsidP="00552502">
            <w:pPr>
              <w:pStyle w:val="Texto"/>
              <w:spacing w:before="40" w:after="40" w:line="214" w:lineRule="exact"/>
              <w:ind w:left="2016" w:hanging="1152"/>
            </w:pPr>
            <w:r w:rsidRPr="00AB7CA1">
              <w:rPr>
                <w:b/>
              </w:rPr>
              <w:t>35/IVA/N</w:t>
            </w:r>
            <w:r w:rsidRPr="00AB7CA1">
              <w:rPr>
                <w:b/>
              </w:rPr>
              <w:tab/>
            </w:r>
            <w:r w:rsidRPr="00AB7CA1">
              <w:t>Tasa del 0% del IVA. Resulta aplicable y no se pagará el IEPS, cuando las mercancías nacionales sean destinadas al régimen de depósito fiscal para su exposición y venta en las tiendas denominadas “Duty Free”.</w:t>
            </w:r>
          </w:p>
        </w:tc>
      </w:tr>
      <w:tr w:rsidR="0098530D" w:rsidRPr="00AB7CA1" w14:paraId="0405F392" w14:textId="77777777" w:rsidTr="00552502">
        <w:tblPrEx>
          <w:tblCellMar>
            <w:top w:w="0" w:type="dxa"/>
            <w:bottom w:w="0" w:type="dxa"/>
          </w:tblCellMar>
        </w:tblPrEx>
        <w:trPr>
          <w:cantSplit/>
          <w:trHeight w:val="20"/>
        </w:trPr>
        <w:tc>
          <w:tcPr>
            <w:tcW w:w="5000" w:type="pct"/>
            <w:tcBorders>
              <w:top w:val="nil"/>
              <w:bottom w:val="nil"/>
            </w:tcBorders>
          </w:tcPr>
          <w:p w14:paraId="2C70F223" w14:textId="77777777" w:rsidR="0098530D" w:rsidRPr="00AB7CA1" w:rsidRDefault="0098530D" w:rsidP="00552502">
            <w:pPr>
              <w:pStyle w:val="Texto"/>
              <w:spacing w:before="40" w:after="40" w:line="214" w:lineRule="exact"/>
              <w:ind w:left="2016" w:hanging="1152"/>
            </w:pPr>
            <w:r w:rsidRPr="00AB7CA1">
              <w:rPr>
                <w:b/>
              </w:rPr>
              <w:t>36/IVA/N</w:t>
            </w:r>
            <w:r w:rsidRPr="00AB7CA1">
              <w:rPr>
                <w:b/>
              </w:rPr>
              <w:tab/>
            </w:r>
            <w:r w:rsidRPr="00AB7CA1">
              <w:t>Seguros. Vehículos de residentes en el extranjero que ingresan temporalmente</w:t>
            </w:r>
            <w:r>
              <w:t xml:space="preserve"> </w:t>
            </w:r>
            <w:r w:rsidRPr="00AB7CA1">
              <w:t>al país.</w:t>
            </w:r>
          </w:p>
        </w:tc>
      </w:tr>
      <w:tr w:rsidR="0098530D" w:rsidRPr="00AB7CA1" w14:paraId="379F4351" w14:textId="77777777" w:rsidTr="00552502">
        <w:tblPrEx>
          <w:tblCellMar>
            <w:top w:w="0" w:type="dxa"/>
            <w:bottom w:w="0" w:type="dxa"/>
          </w:tblCellMar>
        </w:tblPrEx>
        <w:trPr>
          <w:cantSplit/>
          <w:trHeight w:val="20"/>
        </w:trPr>
        <w:tc>
          <w:tcPr>
            <w:tcW w:w="5000" w:type="pct"/>
            <w:tcBorders>
              <w:top w:val="nil"/>
            </w:tcBorders>
          </w:tcPr>
          <w:p w14:paraId="735DED1F" w14:textId="77777777" w:rsidR="0098530D" w:rsidRPr="00AB7CA1" w:rsidRDefault="0098530D" w:rsidP="00552502">
            <w:pPr>
              <w:pStyle w:val="Texto"/>
              <w:spacing w:before="40" w:after="40" w:line="214" w:lineRule="exact"/>
              <w:ind w:left="2016" w:hanging="1152"/>
              <w:rPr>
                <w:b/>
              </w:rPr>
            </w:pPr>
            <w:r w:rsidRPr="00AB7CA1">
              <w:rPr>
                <w:b/>
              </w:rPr>
              <w:lastRenderedPageBreak/>
              <w:t>37/IVA/</w:t>
            </w:r>
          </w:p>
          <w:p w14:paraId="755EAA3B" w14:textId="77777777" w:rsidR="0098530D" w:rsidRPr="00AB7CA1" w:rsidRDefault="0098530D" w:rsidP="00552502">
            <w:pPr>
              <w:pStyle w:val="Texto"/>
              <w:spacing w:before="40" w:after="40" w:line="214" w:lineRule="exact"/>
              <w:ind w:left="2016" w:hanging="1152"/>
            </w:pPr>
            <w:r w:rsidRPr="00AB7CA1">
              <w:rPr>
                <w:b/>
              </w:rPr>
              <w:t>IEPS/N</w:t>
            </w:r>
            <w:r w:rsidRPr="00AB7CA1">
              <w:rPr>
                <w:b/>
              </w:rPr>
              <w:tab/>
            </w:r>
            <w:r w:rsidRPr="00AB7CA1">
              <w:t>Impuestos trasladados. Cuando el contribuyente los pague sin haber realizado el cargo o cobro correspondiente al sujeto económico, podrá obtener beneficios legales sin las exclusiones aplicables a dichos impuestos.</w:t>
            </w:r>
          </w:p>
          <w:p w14:paraId="4BB58FE5" w14:textId="77777777" w:rsidR="0098530D" w:rsidRPr="00AB7CA1" w:rsidRDefault="0098530D" w:rsidP="00552502">
            <w:pPr>
              <w:pStyle w:val="Texto"/>
              <w:spacing w:before="40" w:after="40" w:line="214" w:lineRule="exact"/>
              <w:ind w:left="2016" w:hanging="1152"/>
            </w:pPr>
            <w:r w:rsidRPr="00AB7CA1">
              <w:rPr>
                <w:b/>
              </w:rPr>
              <w:t>38/IVA/N</w:t>
            </w:r>
            <w:r w:rsidRPr="00AB7CA1">
              <w:rPr>
                <w:b/>
              </w:rPr>
              <w:tab/>
            </w:r>
            <w:r w:rsidRPr="00AB7CA1">
              <w:t>Enajenación de sal tasa aplicable en IVA.</w:t>
            </w:r>
          </w:p>
          <w:p w14:paraId="0F5E24C7" w14:textId="77777777" w:rsidR="0098530D" w:rsidRPr="00AB7CA1" w:rsidRDefault="0098530D" w:rsidP="00552502">
            <w:pPr>
              <w:pStyle w:val="Texto"/>
              <w:spacing w:before="40" w:after="40" w:line="214" w:lineRule="exact"/>
              <w:ind w:left="2016" w:hanging="1152"/>
            </w:pPr>
            <w:r w:rsidRPr="00AB7CA1">
              <w:rPr>
                <w:b/>
              </w:rPr>
              <w:t>39/IVA/N</w:t>
            </w:r>
            <w:r w:rsidRPr="00AB7CA1">
              <w:rPr>
                <w:b/>
              </w:rPr>
              <w:tab/>
            </w:r>
            <w:r w:rsidRPr="00AB7CA1">
              <w:t>Rollos de película o acolchados plásticos. No son herbicidas ni plaguicidas.</w:t>
            </w:r>
          </w:p>
          <w:p w14:paraId="29B59EF1" w14:textId="77777777" w:rsidR="0098530D" w:rsidRPr="00AB7CA1" w:rsidRDefault="0098530D" w:rsidP="00552502">
            <w:pPr>
              <w:pStyle w:val="Texto"/>
              <w:spacing w:before="40" w:after="40" w:line="214" w:lineRule="exact"/>
              <w:ind w:left="2016" w:hanging="1152"/>
            </w:pPr>
            <w:r w:rsidRPr="00AB7CA1">
              <w:rPr>
                <w:b/>
              </w:rPr>
              <w:t>40/IVA/N</w:t>
            </w:r>
            <w:r w:rsidRPr="00AB7CA1">
              <w:rPr>
                <w:b/>
              </w:rPr>
              <w:tab/>
            </w:r>
            <w:r w:rsidRPr="00AB7CA1">
              <w:rPr>
                <w:lang w:val="es-ES_tradnl"/>
              </w:rPr>
              <w:t xml:space="preserve">Servicios Digitales. </w:t>
            </w:r>
            <w:r w:rsidRPr="00AB7CA1">
              <w:t>Definición</w:t>
            </w:r>
            <w:r w:rsidRPr="00AB7CA1">
              <w:rPr>
                <w:lang w:val="es-ES_tradnl"/>
              </w:rPr>
              <w:t xml:space="preserve"> de servicios de intermediación para los efectos de lo dispuesto en el artículo 18-B, fracción II de la Ley del IVA.</w:t>
            </w:r>
          </w:p>
        </w:tc>
      </w:tr>
      <w:tr w:rsidR="0098530D" w:rsidRPr="00AB7CA1" w14:paraId="63CBC270" w14:textId="77777777" w:rsidTr="00552502">
        <w:tblPrEx>
          <w:tblCellMar>
            <w:top w:w="0" w:type="dxa"/>
            <w:bottom w:w="0" w:type="dxa"/>
          </w:tblCellMar>
        </w:tblPrEx>
        <w:trPr>
          <w:cantSplit/>
          <w:trHeight w:val="20"/>
        </w:trPr>
        <w:tc>
          <w:tcPr>
            <w:tcW w:w="5000" w:type="pct"/>
            <w:tcBorders>
              <w:bottom w:val="single" w:sz="6" w:space="0" w:color="auto"/>
            </w:tcBorders>
            <w:shd w:val="pct12" w:color="auto" w:fill="auto"/>
          </w:tcPr>
          <w:p w14:paraId="73E64401" w14:textId="77777777" w:rsidR="0098530D" w:rsidRPr="00AB7CA1" w:rsidRDefault="0098530D" w:rsidP="00552502">
            <w:pPr>
              <w:pStyle w:val="Texto"/>
              <w:spacing w:before="40" w:after="40" w:line="214" w:lineRule="exact"/>
              <w:ind w:left="864" w:hanging="432"/>
              <w:rPr>
                <w:lang w:val="es-ES_tradnl"/>
              </w:rPr>
            </w:pPr>
            <w:r w:rsidRPr="00AB7CA1">
              <w:rPr>
                <w:b/>
              </w:rPr>
              <w:t>IV.</w:t>
            </w:r>
            <w:r w:rsidRPr="00AB7CA1">
              <w:rPr>
                <w:b/>
              </w:rPr>
              <w:tab/>
              <w:t>Criterios de la Ley del IEPS</w:t>
            </w:r>
          </w:p>
        </w:tc>
      </w:tr>
      <w:tr w:rsidR="0098530D" w:rsidRPr="00AB7CA1" w14:paraId="63E0E4CC" w14:textId="77777777" w:rsidTr="00552502">
        <w:tblPrEx>
          <w:tblCellMar>
            <w:top w:w="0" w:type="dxa"/>
            <w:bottom w:w="0" w:type="dxa"/>
          </w:tblCellMar>
        </w:tblPrEx>
        <w:trPr>
          <w:cantSplit/>
          <w:trHeight w:val="20"/>
        </w:trPr>
        <w:tc>
          <w:tcPr>
            <w:tcW w:w="5000" w:type="pct"/>
            <w:tcBorders>
              <w:bottom w:val="nil"/>
            </w:tcBorders>
          </w:tcPr>
          <w:p w14:paraId="1AEF2811" w14:textId="77777777" w:rsidR="0098530D" w:rsidRPr="00AB7CA1" w:rsidRDefault="0098530D" w:rsidP="00552502">
            <w:pPr>
              <w:pStyle w:val="Texto"/>
              <w:spacing w:before="40" w:after="40" w:line="214" w:lineRule="exact"/>
              <w:ind w:left="2016" w:hanging="1152"/>
              <w:rPr>
                <w:lang w:val="es-ES_tradnl"/>
              </w:rPr>
            </w:pPr>
            <w:r w:rsidRPr="00AB7CA1">
              <w:rPr>
                <w:b/>
              </w:rPr>
              <w:t>1/IEPS/N</w:t>
            </w:r>
            <w:r w:rsidRPr="00AB7CA1">
              <w:rPr>
                <w:b/>
              </w:rPr>
              <w:tab/>
            </w:r>
            <w:r w:rsidRPr="00AB7CA1">
              <w:t>Enajenaciones subsecuentes de alcohol o alcohol desnaturalizado. Las personas que las efectúan, son contribuyentes del IEPS.</w:t>
            </w:r>
          </w:p>
        </w:tc>
      </w:tr>
      <w:tr w:rsidR="0098530D" w:rsidRPr="00AB7CA1" w14:paraId="7E4F8176" w14:textId="77777777" w:rsidTr="00552502">
        <w:tblPrEx>
          <w:tblCellMar>
            <w:top w:w="0" w:type="dxa"/>
            <w:bottom w:w="0" w:type="dxa"/>
          </w:tblCellMar>
        </w:tblPrEx>
        <w:trPr>
          <w:cantSplit/>
          <w:trHeight w:val="20"/>
        </w:trPr>
        <w:tc>
          <w:tcPr>
            <w:tcW w:w="5000" w:type="pct"/>
            <w:tcBorders>
              <w:top w:val="nil"/>
              <w:bottom w:val="nil"/>
            </w:tcBorders>
          </w:tcPr>
          <w:p w14:paraId="45B65108" w14:textId="77777777" w:rsidR="0098530D" w:rsidRPr="00AB7CA1" w:rsidRDefault="0098530D" w:rsidP="00552502">
            <w:pPr>
              <w:pStyle w:val="Texto"/>
              <w:spacing w:before="40" w:after="40" w:line="214" w:lineRule="exact"/>
              <w:ind w:left="2016" w:hanging="1152"/>
              <w:rPr>
                <w:lang w:val="es-ES_tradnl"/>
              </w:rPr>
            </w:pPr>
            <w:r w:rsidRPr="00AB7CA1">
              <w:rPr>
                <w:b/>
              </w:rPr>
              <w:t>2/IEPS/N</w:t>
            </w:r>
            <w:r w:rsidRPr="00AB7CA1">
              <w:rPr>
                <w:b/>
              </w:rPr>
              <w:tab/>
            </w:r>
            <w:r w:rsidRPr="00AB7CA1">
              <w:t>Plaguicidas. Acreditamiento de la categoría de peligro de toxicidad aguda de los plaguicidas.</w:t>
            </w:r>
          </w:p>
        </w:tc>
      </w:tr>
      <w:tr w:rsidR="0098530D" w:rsidRPr="00AB7CA1" w14:paraId="1DF2C1A8" w14:textId="77777777" w:rsidTr="00552502">
        <w:tblPrEx>
          <w:tblCellMar>
            <w:top w:w="0" w:type="dxa"/>
            <w:bottom w:w="0" w:type="dxa"/>
          </w:tblCellMar>
        </w:tblPrEx>
        <w:trPr>
          <w:cantSplit/>
          <w:trHeight w:val="20"/>
        </w:trPr>
        <w:tc>
          <w:tcPr>
            <w:tcW w:w="5000" w:type="pct"/>
            <w:tcBorders>
              <w:top w:val="nil"/>
              <w:bottom w:val="nil"/>
            </w:tcBorders>
          </w:tcPr>
          <w:p w14:paraId="4B2678BD" w14:textId="77777777" w:rsidR="0098530D" w:rsidRPr="00AB7CA1" w:rsidRDefault="0098530D" w:rsidP="00552502">
            <w:pPr>
              <w:pStyle w:val="Texto"/>
              <w:spacing w:before="40" w:after="40" w:line="214" w:lineRule="exact"/>
              <w:ind w:left="2016" w:hanging="1152"/>
              <w:rPr>
                <w:lang w:val="es-ES_tradnl"/>
              </w:rPr>
            </w:pPr>
            <w:r w:rsidRPr="00AB7CA1">
              <w:rPr>
                <w:b/>
              </w:rPr>
              <w:t>3/IEPS/N</w:t>
            </w:r>
            <w:r w:rsidRPr="00AB7CA1">
              <w:rPr>
                <w:b/>
              </w:rPr>
              <w:tab/>
            </w:r>
            <w:r w:rsidRPr="00AB7CA1">
              <w:t>Base gravable del IEPS. No debe ser considerado el derecho de trámite aduanero exento.</w:t>
            </w:r>
          </w:p>
        </w:tc>
      </w:tr>
      <w:tr w:rsidR="0098530D" w:rsidRPr="00AB7CA1" w14:paraId="518F9D87" w14:textId="77777777" w:rsidTr="00552502">
        <w:tblPrEx>
          <w:tblCellMar>
            <w:top w:w="0" w:type="dxa"/>
            <w:bottom w:w="0" w:type="dxa"/>
          </w:tblCellMar>
        </w:tblPrEx>
        <w:trPr>
          <w:cantSplit/>
          <w:trHeight w:val="20"/>
        </w:trPr>
        <w:tc>
          <w:tcPr>
            <w:tcW w:w="5000" w:type="pct"/>
            <w:tcBorders>
              <w:top w:val="nil"/>
              <w:bottom w:val="nil"/>
            </w:tcBorders>
          </w:tcPr>
          <w:p w14:paraId="04FBF917" w14:textId="77777777" w:rsidR="0098530D" w:rsidRPr="00AB7CA1" w:rsidRDefault="0098530D" w:rsidP="00552502">
            <w:pPr>
              <w:pStyle w:val="Texto"/>
              <w:spacing w:before="40" w:after="40" w:line="214" w:lineRule="exact"/>
              <w:ind w:left="2016" w:hanging="1152"/>
              <w:rPr>
                <w:lang w:val="es-ES_tradnl"/>
              </w:rPr>
            </w:pPr>
            <w:r w:rsidRPr="00AB7CA1">
              <w:rPr>
                <w:b/>
              </w:rPr>
              <w:t>4/IEPS/N</w:t>
            </w:r>
            <w:r w:rsidRPr="00AB7CA1">
              <w:rPr>
                <w:b/>
              </w:rPr>
              <w:tab/>
            </w:r>
            <w:r w:rsidRPr="00AB7CA1">
              <w:t>Concepto de leche para efectos del IEPS.</w:t>
            </w:r>
          </w:p>
        </w:tc>
      </w:tr>
      <w:tr w:rsidR="0098530D" w:rsidRPr="00AB7CA1" w14:paraId="14B6432E" w14:textId="77777777" w:rsidTr="00552502">
        <w:tblPrEx>
          <w:tblCellMar>
            <w:top w:w="0" w:type="dxa"/>
            <w:bottom w:w="0" w:type="dxa"/>
          </w:tblCellMar>
        </w:tblPrEx>
        <w:trPr>
          <w:cantSplit/>
          <w:trHeight w:val="20"/>
        </w:trPr>
        <w:tc>
          <w:tcPr>
            <w:tcW w:w="5000" w:type="pct"/>
            <w:tcBorders>
              <w:top w:val="nil"/>
              <w:bottom w:val="single" w:sz="6" w:space="0" w:color="auto"/>
            </w:tcBorders>
          </w:tcPr>
          <w:p w14:paraId="0D9B2A66" w14:textId="77777777" w:rsidR="0098530D" w:rsidRPr="00AB7CA1" w:rsidRDefault="0098530D" w:rsidP="00552502">
            <w:pPr>
              <w:pStyle w:val="Texto"/>
              <w:spacing w:before="40" w:after="40" w:line="214" w:lineRule="exact"/>
              <w:ind w:left="2016" w:hanging="1152"/>
              <w:rPr>
                <w:lang w:val="es-ES_tradnl"/>
              </w:rPr>
            </w:pPr>
            <w:r w:rsidRPr="00AB7CA1">
              <w:rPr>
                <w:b/>
                <w:noProof/>
              </w:rPr>
              <w:t>5/IEPS</w:t>
            </w:r>
            <w:r w:rsidRPr="00AB7CA1">
              <w:rPr>
                <w:b/>
              </w:rPr>
              <w:t>/N</w:t>
            </w:r>
            <w:r w:rsidRPr="00AB7CA1">
              <w:rPr>
                <w:b/>
              </w:rPr>
              <w:tab/>
            </w:r>
            <w:r w:rsidRPr="00AB7CA1">
              <w:rPr>
                <w:noProof/>
              </w:rPr>
              <w:t>Productos lácteos y productos lácteos combinados. Están afectos al IEPS aplicable a bebidas saborizadas cuando en su proceso de elaboración se disuelvan azúcares</w:t>
            </w:r>
            <w:r>
              <w:rPr>
                <w:noProof/>
              </w:rPr>
              <w:t xml:space="preserve"> </w:t>
            </w:r>
            <w:r w:rsidRPr="00AB7CA1">
              <w:rPr>
                <w:noProof/>
              </w:rPr>
              <w:t>en agua.</w:t>
            </w:r>
          </w:p>
        </w:tc>
      </w:tr>
      <w:tr w:rsidR="0098530D" w:rsidRPr="00AB7CA1" w14:paraId="299BB2E1" w14:textId="77777777" w:rsidTr="00552502">
        <w:tblPrEx>
          <w:tblCellMar>
            <w:top w:w="0" w:type="dxa"/>
            <w:bottom w:w="0" w:type="dxa"/>
          </w:tblCellMar>
        </w:tblPrEx>
        <w:trPr>
          <w:cantSplit/>
          <w:trHeight w:val="20"/>
        </w:trPr>
        <w:tc>
          <w:tcPr>
            <w:tcW w:w="5000" w:type="pct"/>
            <w:tcBorders>
              <w:top w:val="single" w:sz="6" w:space="0" w:color="auto"/>
              <w:bottom w:val="nil"/>
            </w:tcBorders>
          </w:tcPr>
          <w:p w14:paraId="2F3BF110" w14:textId="77777777" w:rsidR="0098530D" w:rsidRPr="00AB7CA1" w:rsidRDefault="0098530D" w:rsidP="00552502">
            <w:pPr>
              <w:pStyle w:val="Texto"/>
              <w:spacing w:before="40" w:after="40" w:line="225" w:lineRule="exact"/>
              <w:ind w:left="2016" w:hanging="1152"/>
              <w:rPr>
                <w:lang w:val="es-ES_tradnl"/>
              </w:rPr>
            </w:pPr>
            <w:r w:rsidRPr="00AB7CA1">
              <w:rPr>
                <w:b/>
              </w:rPr>
              <w:t>6/IEPS/N</w:t>
            </w:r>
            <w:r w:rsidRPr="00AB7CA1">
              <w:rPr>
                <w:b/>
              </w:rPr>
              <w:tab/>
            </w:r>
            <w:r w:rsidRPr="00AB7CA1">
              <w:t>Preparaciones alimenticias que requieren un proceso adicional para su consumo.</w:t>
            </w:r>
          </w:p>
        </w:tc>
      </w:tr>
      <w:tr w:rsidR="0098530D" w:rsidRPr="00AB7CA1" w14:paraId="701C2D1A" w14:textId="77777777" w:rsidTr="00552502">
        <w:tblPrEx>
          <w:tblCellMar>
            <w:top w:w="0" w:type="dxa"/>
            <w:bottom w:w="0" w:type="dxa"/>
          </w:tblCellMar>
        </w:tblPrEx>
        <w:trPr>
          <w:cantSplit/>
          <w:trHeight w:val="20"/>
        </w:trPr>
        <w:tc>
          <w:tcPr>
            <w:tcW w:w="5000" w:type="pct"/>
            <w:tcBorders>
              <w:top w:val="nil"/>
            </w:tcBorders>
          </w:tcPr>
          <w:p w14:paraId="552A20D4" w14:textId="77777777" w:rsidR="0098530D" w:rsidRPr="00AB7CA1" w:rsidRDefault="0098530D" w:rsidP="00552502">
            <w:pPr>
              <w:pStyle w:val="Texto"/>
              <w:spacing w:before="40" w:after="40" w:line="225" w:lineRule="exact"/>
              <w:ind w:left="2016" w:hanging="1152"/>
              <w:rPr>
                <w:lang w:val="es-ES_tradnl"/>
              </w:rPr>
            </w:pPr>
            <w:r w:rsidRPr="00AB7CA1">
              <w:rPr>
                <w:b/>
              </w:rPr>
              <w:t>7/IEPS/N</w:t>
            </w:r>
            <w:r w:rsidRPr="00AB7CA1">
              <w:rPr>
                <w:b/>
              </w:rPr>
              <w:tab/>
            </w:r>
            <w:r w:rsidRPr="00AB7CA1">
              <w:t>Productos de confitería y helados cuyo insumo sea chicle o goma de mascar.</w:t>
            </w:r>
          </w:p>
          <w:p w14:paraId="4C3A3C9B" w14:textId="77777777" w:rsidR="0098530D" w:rsidRPr="00AB7CA1" w:rsidRDefault="0098530D" w:rsidP="00552502">
            <w:pPr>
              <w:pStyle w:val="Texto"/>
              <w:spacing w:before="40" w:after="40" w:line="225" w:lineRule="exact"/>
              <w:ind w:left="2016" w:hanging="1152"/>
              <w:rPr>
                <w:lang w:val="es-ES_tradnl"/>
              </w:rPr>
            </w:pPr>
            <w:r w:rsidRPr="00AB7CA1">
              <w:rPr>
                <w:b/>
              </w:rPr>
              <w:t>8/IEPS/N</w:t>
            </w:r>
            <w:r w:rsidRPr="00AB7CA1">
              <w:rPr>
                <w:b/>
              </w:rPr>
              <w:tab/>
            </w:r>
            <w:r w:rsidRPr="00AB7CA1">
              <w:t>Gelatina o grenetina de grado comestible. Su enajenación o importación está sujeta al pago del IEPS cuando contenga azúcares u otros edulcorantes con una densidad calórica de 275 kilocalorías o mayor por cada 100 gramos.</w:t>
            </w:r>
          </w:p>
          <w:p w14:paraId="7133ED1C" w14:textId="77777777" w:rsidR="0098530D" w:rsidRPr="00AB7CA1" w:rsidRDefault="0098530D" w:rsidP="00552502">
            <w:pPr>
              <w:pStyle w:val="Texto"/>
              <w:spacing w:before="40" w:after="40" w:line="225" w:lineRule="exact"/>
              <w:ind w:left="2016" w:hanging="1152"/>
              <w:rPr>
                <w:lang w:val="es-ES_tradnl"/>
              </w:rPr>
            </w:pPr>
            <w:r w:rsidRPr="00AB7CA1">
              <w:rPr>
                <w:b/>
              </w:rPr>
              <w:t>9/IEPS/N</w:t>
            </w:r>
            <w:r w:rsidRPr="00AB7CA1">
              <w:rPr>
                <w:b/>
              </w:rPr>
              <w:tab/>
            </w:r>
            <w:r w:rsidRPr="00AB7CA1">
              <w:t>Saldo a favor derivado del cálculo del IEPS conforme al artículo 2o., fracción I, incisos D) y H) de la Ley del IEPS. Sólo se puede compensar contra el impuesto establecido en el mismo artículo, fracción e incisos.</w:t>
            </w:r>
          </w:p>
        </w:tc>
      </w:tr>
      <w:tr w:rsidR="0098530D" w:rsidRPr="00AB7CA1" w14:paraId="55355F5E" w14:textId="77777777" w:rsidTr="00552502">
        <w:tblPrEx>
          <w:tblCellMar>
            <w:top w:w="0" w:type="dxa"/>
            <w:bottom w:w="0" w:type="dxa"/>
          </w:tblCellMar>
        </w:tblPrEx>
        <w:trPr>
          <w:cantSplit/>
          <w:trHeight w:val="20"/>
        </w:trPr>
        <w:tc>
          <w:tcPr>
            <w:tcW w:w="5000" w:type="pct"/>
            <w:tcBorders>
              <w:bottom w:val="single" w:sz="6" w:space="0" w:color="auto"/>
            </w:tcBorders>
            <w:shd w:val="pct12" w:color="auto" w:fill="auto"/>
          </w:tcPr>
          <w:p w14:paraId="03FB27E0" w14:textId="77777777" w:rsidR="0098530D" w:rsidRPr="00AB7CA1" w:rsidRDefault="0098530D" w:rsidP="00552502">
            <w:pPr>
              <w:pStyle w:val="Texto"/>
              <w:spacing w:before="40" w:after="40" w:line="225" w:lineRule="exact"/>
              <w:ind w:left="864" w:hanging="432"/>
              <w:rPr>
                <w:lang w:val="es-ES_tradnl"/>
              </w:rPr>
            </w:pPr>
            <w:r w:rsidRPr="00AB7CA1">
              <w:rPr>
                <w:b/>
              </w:rPr>
              <w:t>V.</w:t>
            </w:r>
            <w:r w:rsidRPr="00AB7CA1">
              <w:rPr>
                <w:b/>
              </w:rPr>
              <w:tab/>
              <w:t>Criterios de la LFD</w:t>
            </w:r>
          </w:p>
        </w:tc>
      </w:tr>
      <w:tr w:rsidR="0098530D" w:rsidRPr="00AB7CA1" w14:paraId="21805118" w14:textId="77777777" w:rsidTr="00552502">
        <w:tblPrEx>
          <w:tblCellMar>
            <w:top w:w="0" w:type="dxa"/>
            <w:bottom w:w="0" w:type="dxa"/>
          </w:tblCellMar>
        </w:tblPrEx>
        <w:trPr>
          <w:cantSplit/>
          <w:trHeight w:val="20"/>
        </w:trPr>
        <w:tc>
          <w:tcPr>
            <w:tcW w:w="5000" w:type="pct"/>
            <w:tcBorders>
              <w:bottom w:val="nil"/>
            </w:tcBorders>
          </w:tcPr>
          <w:p w14:paraId="7B986C51" w14:textId="77777777" w:rsidR="0098530D" w:rsidRPr="00AB7CA1" w:rsidRDefault="0098530D" w:rsidP="00552502">
            <w:pPr>
              <w:pStyle w:val="Texto"/>
              <w:spacing w:before="40" w:after="40" w:line="225" w:lineRule="exact"/>
              <w:ind w:left="2016" w:hanging="1152"/>
              <w:rPr>
                <w:lang w:val="es-ES_tradnl"/>
              </w:rPr>
            </w:pPr>
            <w:r w:rsidRPr="00AB7CA1">
              <w:rPr>
                <w:b/>
              </w:rPr>
              <w:t>1/LFD/N</w:t>
            </w:r>
            <w:r w:rsidRPr="00AB7CA1">
              <w:rPr>
                <w:b/>
              </w:rPr>
              <w:tab/>
            </w:r>
            <w:r w:rsidRPr="00AB7CA1">
              <w:t>Derechos. Cuando se solicite la certificación de legajos o expedientes, se deberá pagar el derecho que corresponda por cada hoja tamaño carta u oficio.</w:t>
            </w:r>
          </w:p>
        </w:tc>
      </w:tr>
      <w:tr w:rsidR="0098530D" w:rsidRPr="00AB7CA1" w14:paraId="56FF205D" w14:textId="77777777" w:rsidTr="00552502">
        <w:tblPrEx>
          <w:tblCellMar>
            <w:top w:w="0" w:type="dxa"/>
            <w:bottom w:w="0" w:type="dxa"/>
          </w:tblCellMar>
        </w:tblPrEx>
        <w:trPr>
          <w:cantSplit/>
          <w:trHeight w:val="20"/>
        </w:trPr>
        <w:tc>
          <w:tcPr>
            <w:tcW w:w="5000" w:type="pct"/>
            <w:tcBorders>
              <w:top w:val="nil"/>
            </w:tcBorders>
          </w:tcPr>
          <w:p w14:paraId="52B3CE53" w14:textId="77777777" w:rsidR="0098530D" w:rsidRPr="00AB7CA1" w:rsidRDefault="0098530D" w:rsidP="00552502">
            <w:pPr>
              <w:pStyle w:val="Texto"/>
              <w:spacing w:before="40" w:after="40" w:line="225" w:lineRule="exact"/>
              <w:ind w:left="2016" w:hanging="1152"/>
              <w:rPr>
                <w:lang w:val="es-ES_tradnl"/>
              </w:rPr>
            </w:pPr>
            <w:r w:rsidRPr="00AB7CA1">
              <w:rPr>
                <w:b/>
              </w:rPr>
              <w:t>2/LFD/N</w:t>
            </w:r>
            <w:r w:rsidRPr="00AB7CA1">
              <w:rPr>
                <w:b/>
              </w:rPr>
              <w:tab/>
            </w:r>
            <w:r w:rsidRPr="00AB7CA1">
              <w:t>Derechos por uso o goce de inmuebles federales. Casos en los que no aplica</w:t>
            </w:r>
            <w:r>
              <w:t xml:space="preserve"> </w:t>
            </w:r>
            <w:r w:rsidRPr="00AB7CA1">
              <w:t>la exención.</w:t>
            </w:r>
          </w:p>
        </w:tc>
      </w:tr>
      <w:tr w:rsidR="0098530D" w:rsidRPr="00AB7CA1" w14:paraId="7AA542C1" w14:textId="77777777" w:rsidTr="00552502">
        <w:tblPrEx>
          <w:tblCellMar>
            <w:top w:w="0" w:type="dxa"/>
            <w:bottom w:w="0" w:type="dxa"/>
          </w:tblCellMar>
        </w:tblPrEx>
        <w:trPr>
          <w:cantSplit/>
          <w:trHeight w:val="20"/>
        </w:trPr>
        <w:tc>
          <w:tcPr>
            <w:tcW w:w="5000" w:type="pct"/>
            <w:tcBorders>
              <w:bottom w:val="single" w:sz="6" w:space="0" w:color="auto"/>
            </w:tcBorders>
            <w:shd w:val="pct12" w:color="auto" w:fill="auto"/>
          </w:tcPr>
          <w:p w14:paraId="1489844D" w14:textId="77777777" w:rsidR="0098530D" w:rsidRPr="00AB7CA1" w:rsidRDefault="0098530D" w:rsidP="00552502">
            <w:pPr>
              <w:pStyle w:val="Texto"/>
              <w:spacing w:before="40" w:after="40" w:line="225" w:lineRule="exact"/>
              <w:ind w:left="864" w:hanging="432"/>
              <w:rPr>
                <w:lang w:val="es-ES_tradnl"/>
              </w:rPr>
            </w:pPr>
            <w:r w:rsidRPr="00AB7CA1">
              <w:rPr>
                <w:b/>
              </w:rPr>
              <w:t>VI.</w:t>
            </w:r>
            <w:r w:rsidRPr="00AB7CA1">
              <w:rPr>
                <w:b/>
              </w:rPr>
              <w:tab/>
              <w:t>Criterios de la LISH</w:t>
            </w:r>
          </w:p>
        </w:tc>
      </w:tr>
      <w:tr w:rsidR="0098530D" w:rsidRPr="00AB7CA1" w14:paraId="3C60D3FC" w14:textId="77777777" w:rsidTr="00552502">
        <w:tblPrEx>
          <w:tblCellMar>
            <w:top w:w="0" w:type="dxa"/>
            <w:bottom w:w="0" w:type="dxa"/>
          </w:tblCellMar>
        </w:tblPrEx>
        <w:trPr>
          <w:cantSplit/>
          <w:trHeight w:val="20"/>
        </w:trPr>
        <w:tc>
          <w:tcPr>
            <w:tcW w:w="5000" w:type="pct"/>
            <w:tcBorders>
              <w:bottom w:val="nil"/>
            </w:tcBorders>
          </w:tcPr>
          <w:p w14:paraId="30FEDC93" w14:textId="77777777" w:rsidR="0098530D" w:rsidRPr="00AB7CA1" w:rsidRDefault="0098530D" w:rsidP="00552502">
            <w:pPr>
              <w:pStyle w:val="Texto"/>
              <w:spacing w:before="40" w:after="40" w:line="225" w:lineRule="exact"/>
              <w:ind w:left="2016" w:hanging="1152"/>
              <w:rPr>
                <w:lang w:val="es-ES_tradnl"/>
              </w:rPr>
            </w:pPr>
            <w:r w:rsidRPr="00AB7CA1">
              <w:rPr>
                <w:b/>
              </w:rPr>
              <w:t>1/LISH/N</w:t>
            </w:r>
            <w:r w:rsidRPr="00AB7CA1">
              <w:rPr>
                <w:b/>
              </w:rPr>
              <w:tab/>
            </w:r>
            <w:r w:rsidRPr="00AB7CA1">
              <w:t>Devoluciones, descuentos y bonificaciones de periodos anteriores al 1 de enero de 2015. No son aplicables para los derechos previstos en el título tercero de la LISH para los asignatarios.</w:t>
            </w:r>
          </w:p>
        </w:tc>
      </w:tr>
      <w:tr w:rsidR="0098530D" w:rsidRPr="00AB7CA1" w14:paraId="493B8786" w14:textId="77777777" w:rsidTr="00552502">
        <w:tblPrEx>
          <w:tblCellMar>
            <w:top w:w="0" w:type="dxa"/>
            <w:bottom w:w="0" w:type="dxa"/>
          </w:tblCellMar>
        </w:tblPrEx>
        <w:trPr>
          <w:cantSplit/>
          <w:trHeight w:val="20"/>
        </w:trPr>
        <w:tc>
          <w:tcPr>
            <w:tcW w:w="5000" w:type="pct"/>
            <w:tcBorders>
              <w:top w:val="nil"/>
              <w:bottom w:val="nil"/>
            </w:tcBorders>
          </w:tcPr>
          <w:p w14:paraId="69B1498E" w14:textId="77777777" w:rsidR="0098530D" w:rsidRPr="00AB7CA1" w:rsidRDefault="0098530D" w:rsidP="00552502">
            <w:pPr>
              <w:pStyle w:val="Texto"/>
              <w:spacing w:before="40" w:after="40" w:line="225" w:lineRule="exact"/>
              <w:ind w:left="2016" w:hanging="1152"/>
              <w:rPr>
                <w:lang w:val="es-ES_tradnl"/>
              </w:rPr>
            </w:pPr>
            <w:r w:rsidRPr="00AB7CA1">
              <w:rPr>
                <w:b/>
              </w:rPr>
              <w:t>2/LISH/N</w:t>
            </w:r>
            <w:r w:rsidRPr="00AB7CA1">
              <w:rPr>
                <w:b/>
              </w:rPr>
              <w:tab/>
            </w:r>
            <w:r w:rsidRPr="00AB7CA1">
              <w:t>Porcentajes de deducción para contratistas y asignatarios. Su aplicación no constituye una opción.</w:t>
            </w:r>
          </w:p>
          <w:p w14:paraId="515FB2B6" w14:textId="77777777" w:rsidR="0098530D" w:rsidRPr="00AB7CA1" w:rsidRDefault="0098530D" w:rsidP="00552502">
            <w:pPr>
              <w:pStyle w:val="Texto"/>
              <w:spacing w:before="40" w:after="40" w:line="225" w:lineRule="exact"/>
              <w:ind w:left="2016" w:hanging="1152"/>
              <w:rPr>
                <w:lang w:val="es-ES_tradnl"/>
              </w:rPr>
            </w:pPr>
            <w:r w:rsidRPr="00AB7CA1">
              <w:rPr>
                <w:b/>
              </w:rPr>
              <w:t>3/LISH/N</w:t>
            </w:r>
            <w:r w:rsidRPr="00AB7CA1">
              <w:rPr>
                <w:b/>
              </w:rPr>
              <w:tab/>
            </w:r>
            <w:r w:rsidRPr="00AB7CA1">
              <w:t>Porcentajes de deducción para contratistas y asignatarios. No resultan aplicables para otro tipo de contribuyentes.</w:t>
            </w:r>
          </w:p>
          <w:p w14:paraId="5F57E00F" w14:textId="77777777" w:rsidR="0098530D" w:rsidRPr="00AB7CA1" w:rsidRDefault="0098530D" w:rsidP="00552502">
            <w:pPr>
              <w:pStyle w:val="Texto"/>
              <w:spacing w:before="40" w:after="40" w:line="225" w:lineRule="exact"/>
              <w:ind w:left="2016" w:hanging="1152"/>
              <w:rPr>
                <w:lang w:val="es-ES_tradnl"/>
              </w:rPr>
            </w:pPr>
            <w:r w:rsidRPr="00AB7CA1">
              <w:rPr>
                <w:b/>
              </w:rPr>
              <w:t>4/LISH/N</w:t>
            </w:r>
            <w:r w:rsidRPr="00AB7CA1">
              <w:rPr>
                <w:b/>
              </w:rPr>
              <w:tab/>
            </w:r>
            <w:r w:rsidRPr="00AB7CA1">
              <w:t>Erogaciones necesarias para la exploración, extracción, transportación o entrega de hidrocarburos. Constituyen costos y gastos deducibles para la determinación del derecho por la utilidad compartida.</w:t>
            </w:r>
          </w:p>
        </w:tc>
      </w:tr>
      <w:tr w:rsidR="0098530D" w:rsidRPr="00AB7CA1" w14:paraId="068B0135" w14:textId="77777777" w:rsidTr="00552502">
        <w:tblPrEx>
          <w:tblCellMar>
            <w:top w:w="0" w:type="dxa"/>
            <w:bottom w:w="0" w:type="dxa"/>
          </w:tblCellMar>
        </w:tblPrEx>
        <w:trPr>
          <w:cantSplit/>
          <w:trHeight w:val="20"/>
        </w:trPr>
        <w:tc>
          <w:tcPr>
            <w:tcW w:w="5000" w:type="pct"/>
            <w:tcBorders>
              <w:top w:val="nil"/>
              <w:bottom w:val="nil"/>
            </w:tcBorders>
          </w:tcPr>
          <w:p w14:paraId="0BCB04FC" w14:textId="77777777" w:rsidR="0098530D" w:rsidRPr="00AB7CA1" w:rsidRDefault="0098530D" w:rsidP="00552502">
            <w:pPr>
              <w:pStyle w:val="Texto"/>
              <w:spacing w:before="40" w:after="40" w:line="225" w:lineRule="exact"/>
              <w:ind w:left="2016" w:hanging="1152"/>
              <w:rPr>
                <w:lang w:val="es-ES_tradnl"/>
              </w:rPr>
            </w:pPr>
            <w:r w:rsidRPr="00AB7CA1">
              <w:rPr>
                <w:b/>
              </w:rPr>
              <w:t>5/LISH/N</w:t>
            </w:r>
            <w:r w:rsidRPr="00AB7CA1">
              <w:rPr>
                <w:b/>
              </w:rPr>
              <w:tab/>
            </w:r>
            <w:r w:rsidRPr="00AB7CA1">
              <w:t>Derecho de exploración de hidrocarburos. Deducibilidad para la determinación de la base del derecho por la utilidad compartida.</w:t>
            </w:r>
          </w:p>
        </w:tc>
      </w:tr>
      <w:tr w:rsidR="0098530D" w:rsidRPr="00AB7CA1" w14:paraId="014EF23A" w14:textId="77777777" w:rsidTr="00552502">
        <w:tblPrEx>
          <w:tblCellMar>
            <w:top w:w="0" w:type="dxa"/>
            <w:bottom w:w="0" w:type="dxa"/>
          </w:tblCellMar>
        </w:tblPrEx>
        <w:trPr>
          <w:cantSplit/>
          <w:trHeight w:val="20"/>
        </w:trPr>
        <w:tc>
          <w:tcPr>
            <w:tcW w:w="5000" w:type="pct"/>
            <w:tcBorders>
              <w:top w:val="nil"/>
              <w:bottom w:val="nil"/>
            </w:tcBorders>
          </w:tcPr>
          <w:p w14:paraId="1DB9F093" w14:textId="77777777" w:rsidR="0098530D" w:rsidRPr="00AB7CA1" w:rsidRDefault="0098530D" w:rsidP="00552502">
            <w:pPr>
              <w:pStyle w:val="Texto"/>
              <w:spacing w:before="40" w:after="40" w:line="225" w:lineRule="exact"/>
              <w:ind w:left="2016" w:hanging="1152"/>
              <w:rPr>
                <w:lang w:val="es-ES_tradnl"/>
              </w:rPr>
            </w:pPr>
            <w:r w:rsidRPr="00AB7CA1">
              <w:rPr>
                <w:b/>
              </w:rPr>
              <w:t>6/LISH/N</w:t>
            </w:r>
            <w:r w:rsidRPr="00AB7CA1">
              <w:rPr>
                <w:b/>
              </w:rPr>
              <w:tab/>
            </w:r>
            <w:r w:rsidRPr="00AB7CA1">
              <w:t>Capitalización delgada. Su excepción sólo es aplicable para los asignatarios y contratistas a que se refiere la Ley de Hidrocarburos.</w:t>
            </w:r>
          </w:p>
        </w:tc>
      </w:tr>
      <w:tr w:rsidR="0098530D" w:rsidRPr="00AB7CA1" w14:paraId="7A069DD1" w14:textId="77777777" w:rsidTr="00552502">
        <w:tblPrEx>
          <w:tblCellMar>
            <w:top w:w="0" w:type="dxa"/>
            <w:bottom w:w="0" w:type="dxa"/>
          </w:tblCellMar>
        </w:tblPrEx>
        <w:trPr>
          <w:cantSplit/>
          <w:trHeight w:val="20"/>
        </w:trPr>
        <w:tc>
          <w:tcPr>
            <w:tcW w:w="5000" w:type="pct"/>
            <w:tcBorders>
              <w:top w:val="nil"/>
              <w:bottom w:val="nil"/>
            </w:tcBorders>
          </w:tcPr>
          <w:p w14:paraId="4CAF3EBC" w14:textId="77777777" w:rsidR="0098530D" w:rsidRPr="00AB7CA1" w:rsidRDefault="0098530D" w:rsidP="00552502">
            <w:pPr>
              <w:pStyle w:val="Texto"/>
              <w:spacing w:before="40" w:after="40" w:line="225" w:lineRule="exact"/>
              <w:ind w:left="2016" w:hanging="1152"/>
              <w:rPr>
                <w:lang w:val="es-ES_tradnl"/>
              </w:rPr>
            </w:pPr>
            <w:r w:rsidRPr="00AB7CA1">
              <w:rPr>
                <w:b/>
              </w:rPr>
              <w:t>7/LISH/N</w:t>
            </w:r>
            <w:r w:rsidRPr="00AB7CA1">
              <w:rPr>
                <w:b/>
              </w:rPr>
              <w:tab/>
            </w:r>
            <w:r w:rsidRPr="00AB7CA1">
              <w:t>Establecimiento permanente para los efectos de las actividades a que se refiere la Ley de Hidrocarburos.</w:t>
            </w:r>
          </w:p>
        </w:tc>
      </w:tr>
      <w:tr w:rsidR="0098530D" w:rsidRPr="00AB7CA1" w14:paraId="622CD5D6" w14:textId="77777777" w:rsidTr="00552502">
        <w:tblPrEx>
          <w:tblCellMar>
            <w:top w:w="0" w:type="dxa"/>
            <w:bottom w:w="0" w:type="dxa"/>
          </w:tblCellMar>
        </w:tblPrEx>
        <w:trPr>
          <w:cantSplit/>
          <w:trHeight w:val="20"/>
        </w:trPr>
        <w:tc>
          <w:tcPr>
            <w:tcW w:w="5000" w:type="pct"/>
            <w:tcBorders>
              <w:top w:val="nil"/>
              <w:bottom w:val="nil"/>
            </w:tcBorders>
          </w:tcPr>
          <w:p w14:paraId="6AE15954" w14:textId="77777777" w:rsidR="0098530D" w:rsidRPr="00AB7CA1" w:rsidRDefault="0098530D" w:rsidP="00552502">
            <w:pPr>
              <w:pStyle w:val="Texto"/>
              <w:spacing w:before="40" w:after="40" w:line="225" w:lineRule="exact"/>
              <w:ind w:left="2016" w:hanging="1152"/>
            </w:pPr>
            <w:r w:rsidRPr="00AB7CA1">
              <w:rPr>
                <w:b/>
              </w:rPr>
              <w:lastRenderedPageBreak/>
              <w:t>8/LISH/N</w:t>
            </w:r>
            <w:r w:rsidRPr="00AB7CA1">
              <w:rPr>
                <w:b/>
              </w:rPr>
              <w:tab/>
            </w:r>
            <w:r w:rsidRPr="00AB7CA1">
              <w:t>Registro de operaciones contables de asignatarios y contratistas. Debe utilizarse la moneda nacional o de registro.</w:t>
            </w:r>
          </w:p>
        </w:tc>
      </w:tr>
      <w:tr w:rsidR="0098530D" w:rsidRPr="00AB7CA1" w14:paraId="431A9024" w14:textId="77777777" w:rsidTr="00552502">
        <w:tblPrEx>
          <w:tblCellMar>
            <w:top w:w="0" w:type="dxa"/>
            <w:bottom w:w="0" w:type="dxa"/>
          </w:tblCellMar>
        </w:tblPrEx>
        <w:trPr>
          <w:cantSplit/>
          <w:trHeight w:val="20"/>
        </w:trPr>
        <w:tc>
          <w:tcPr>
            <w:tcW w:w="5000" w:type="pct"/>
            <w:tcBorders>
              <w:top w:val="nil"/>
              <w:bottom w:val="nil"/>
            </w:tcBorders>
          </w:tcPr>
          <w:p w14:paraId="6D14695A" w14:textId="77777777" w:rsidR="0098530D" w:rsidRPr="00AB7CA1" w:rsidRDefault="0098530D" w:rsidP="00552502">
            <w:pPr>
              <w:pStyle w:val="Texto"/>
              <w:spacing w:before="40" w:after="40" w:line="225" w:lineRule="exact"/>
              <w:ind w:left="2016" w:hanging="1152"/>
            </w:pPr>
            <w:r w:rsidRPr="00AB7CA1">
              <w:rPr>
                <w:b/>
              </w:rPr>
              <w:t>9/LISH/N</w:t>
            </w:r>
            <w:r w:rsidRPr="00AB7CA1">
              <w:rPr>
                <w:b/>
              </w:rPr>
              <w:tab/>
            </w:r>
            <w:r w:rsidRPr="00AB7CA1">
              <w:t>Enajenación de bienes de activo fijo utilizados en actividades petroleras. Tratamiento fiscal en materia del ISR.</w:t>
            </w:r>
          </w:p>
        </w:tc>
      </w:tr>
      <w:tr w:rsidR="0098530D" w:rsidRPr="00AB7CA1" w14:paraId="60B4301D" w14:textId="77777777" w:rsidTr="00552502">
        <w:tblPrEx>
          <w:tblCellMar>
            <w:top w:w="0" w:type="dxa"/>
            <w:bottom w:w="0" w:type="dxa"/>
          </w:tblCellMar>
        </w:tblPrEx>
        <w:trPr>
          <w:cantSplit/>
          <w:trHeight w:val="20"/>
        </w:trPr>
        <w:tc>
          <w:tcPr>
            <w:tcW w:w="5000" w:type="pct"/>
            <w:tcBorders>
              <w:top w:val="nil"/>
              <w:bottom w:val="nil"/>
            </w:tcBorders>
          </w:tcPr>
          <w:p w14:paraId="6D188506" w14:textId="77777777" w:rsidR="0098530D" w:rsidRPr="00AB7CA1" w:rsidRDefault="0098530D" w:rsidP="00552502">
            <w:pPr>
              <w:pStyle w:val="Texto"/>
              <w:spacing w:before="40" w:after="40" w:line="225" w:lineRule="exact"/>
              <w:ind w:left="2016" w:hanging="1152"/>
              <w:rPr>
                <w:b/>
              </w:rPr>
            </w:pPr>
            <w:r w:rsidRPr="00AB7CA1">
              <w:rPr>
                <w:b/>
              </w:rPr>
              <w:t>10/LISH/N</w:t>
            </w:r>
            <w:r>
              <w:rPr>
                <w:b/>
              </w:rPr>
              <w:tab/>
            </w:r>
            <w:r w:rsidRPr="00AB7CA1">
              <w:t>Transmisión al Estado de los activos generados o adquiridos al amparo de los Contratos de exploración y extracción. Tratamiento fiscal en materia del ISR.</w:t>
            </w:r>
          </w:p>
        </w:tc>
      </w:tr>
      <w:tr w:rsidR="0098530D" w:rsidRPr="00AB7CA1" w14:paraId="43AD032B" w14:textId="77777777" w:rsidTr="00552502">
        <w:tblPrEx>
          <w:tblCellMar>
            <w:top w:w="0" w:type="dxa"/>
            <w:bottom w:w="0" w:type="dxa"/>
          </w:tblCellMar>
        </w:tblPrEx>
        <w:trPr>
          <w:cantSplit/>
          <w:trHeight w:val="20"/>
        </w:trPr>
        <w:tc>
          <w:tcPr>
            <w:tcW w:w="5000" w:type="pct"/>
            <w:tcBorders>
              <w:top w:val="nil"/>
              <w:bottom w:val="nil"/>
            </w:tcBorders>
          </w:tcPr>
          <w:p w14:paraId="7BA6A8F7" w14:textId="77777777" w:rsidR="0098530D" w:rsidRPr="00AB7CA1" w:rsidRDefault="0098530D" w:rsidP="00552502">
            <w:pPr>
              <w:pStyle w:val="Texto"/>
              <w:spacing w:before="40" w:after="40" w:line="225" w:lineRule="exact"/>
              <w:ind w:left="2016" w:hanging="1152"/>
              <w:rPr>
                <w:b/>
              </w:rPr>
            </w:pPr>
            <w:r w:rsidRPr="00AB7CA1">
              <w:rPr>
                <w:b/>
              </w:rPr>
              <w:t>11/LISH/N</w:t>
            </w:r>
            <w:r>
              <w:rPr>
                <w:b/>
              </w:rPr>
              <w:tab/>
            </w:r>
            <w:r w:rsidRPr="00AB7CA1">
              <w:t>Aportaciones a los fideicomisos de inversión para fondear las operaciones de abandono en el área contractual. El monto equivalente a los intereses que se disminuyen para calcular las aportaciones trimestrales, constituye un ingreso acumulable para el contratista.</w:t>
            </w:r>
          </w:p>
        </w:tc>
      </w:tr>
      <w:tr w:rsidR="0098530D" w:rsidRPr="00AB7CA1" w14:paraId="3E8A5B54" w14:textId="77777777" w:rsidTr="00552502">
        <w:tblPrEx>
          <w:tblCellMar>
            <w:top w:w="0" w:type="dxa"/>
            <w:bottom w:w="0" w:type="dxa"/>
          </w:tblCellMar>
        </w:tblPrEx>
        <w:trPr>
          <w:cantSplit/>
          <w:trHeight w:val="20"/>
        </w:trPr>
        <w:tc>
          <w:tcPr>
            <w:tcW w:w="5000" w:type="pct"/>
            <w:tcBorders>
              <w:top w:val="nil"/>
            </w:tcBorders>
          </w:tcPr>
          <w:p w14:paraId="5F5F50C7" w14:textId="77777777" w:rsidR="0098530D" w:rsidRPr="00AB7CA1" w:rsidRDefault="0098530D" w:rsidP="00552502">
            <w:pPr>
              <w:pStyle w:val="Texto"/>
              <w:spacing w:before="40" w:after="40" w:line="225" w:lineRule="exact"/>
              <w:ind w:left="2016" w:hanging="1152"/>
            </w:pPr>
            <w:r w:rsidRPr="00AB7CA1">
              <w:rPr>
                <w:b/>
              </w:rPr>
              <w:t>12/LISH/N</w:t>
            </w:r>
            <w:r>
              <w:rPr>
                <w:b/>
              </w:rPr>
              <w:tab/>
            </w:r>
            <w:r w:rsidRPr="00AB7CA1">
              <w:t>Provisión de reserva de abandono. No es deducible para los efectos del ISR.</w:t>
            </w:r>
          </w:p>
          <w:p w14:paraId="66AAB90F" w14:textId="77777777" w:rsidR="0098530D" w:rsidRPr="00AB7CA1" w:rsidRDefault="0098530D" w:rsidP="00552502">
            <w:pPr>
              <w:pStyle w:val="Texto"/>
              <w:spacing w:before="40" w:after="40" w:line="225" w:lineRule="exact"/>
              <w:ind w:left="2016" w:hanging="1152"/>
              <w:rPr>
                <w:b/>
              </w:rPr>
            </w:pPr>
            <w:r w:rsidRPr="00AB7CA1">
              <w:rPr>
                <w:b/>
              </w:rPr>
              <w:t>13/LISH/N</w:t>
            </w:r>
            <w:r>
              <w:rPr>
                <w:b/>
              </w:rPr>
              <w:tab/>
            </w:r>
            <w:r w:rsidRPr="00AB7CA1">
              <w:t>Porcentajes de deducción para contratistas y asignatarios. Únicamente son aplicables para las inversiones destinadas a las actividades señaladas en</w:t>
            </w:r>
            <w:r>
              <w:t xml:space="preserve"> </w:t>
            </w:r>
            <w:r w:rsidRPr="00AB7CA1">
              <w:t>los mismos.</w:t>
            </w:r>
          </w:p>
        </w:tc>
      </w:tr>
      <w:tr w:rsidR="0098530D" w:rsidRPr="00AB7CA1" w14:paraId="5B4A9FF3" w14:textId="77777777" w:rsidTr="00552502">
        <w:tblPrEx>
          <w:tblCellMar>
            <w:top w:w="0" w:type="dxa"/>
            <w:bottom w:w="0" w:type="dxa"/>
          </w:tblCellMar>
        </w:tblPrEx>
        <w:trPr>
          <w:cantSplit/>
          <w:trHeight w:val="20"/>
        </w:trPr>
        <w:tc>
          <w:tcPr>
            <w:tcW w:w="5000" w:type="pct"/>
            <w:shd w:val="pct12" w:color="auto" w:fill="auto"/>
          </w:tcPr>
          <w:p w14:paraId="5CDE680D" w14:textId="77777777" w:rsidR="0098530D" w:rsidRPr="00AB7CA1" w:rsidRDefault="0098530D" w:rsidP="00552502">
            <w:pPr>
              <w:pStyle w:val="Texto"/>
              <w:spacing w:before="40" w:after="40" w:line="225" w:lineRule="exact"/>
              <w:ind w:left="432" w:hanging="432"/>
              <w:rPr>
                <w:b/>
              </w:rPr>
            </w:pPr>
            <w:r w:rsidRPr="00AB7CA1">
              <w:rPr>
                <w:b/>
              </w:rPr>
              <w:t>B.</w:t>
            </w:r>
            <w:r w:rsidRPr="00AB7CA1">
              <w:rPr>
                <w:b/>
              </w:rPr>
              <w:tab/>
              <w:t>Derogados:</w:t>
            </w:r>
          </w:p>
        </w:tc>
      </w:tr>
      <w:tr w:rsidR="0098530D" w:rsidRPr="00AB7CA1" w14:paraId="34506151" w14:textId="77777777" w:rsidTr="00552502">
        <w:tblPrEx>
          <w:tblCellMar>
            <w:top w:w="0" w:type="dxa"/>
            <w:bottom w:w="0" w:type="dxa"/>
          </w:tblCellMar>
        </w:tblPrEx>
        <w:trPr>
          <w:cantSplit/>
          <w:trHeight w:val="20"/>
        </w:trPr>
        <w:tc>
          <w:tcPr>
            <w:tcW w:w="5000" w:type="pct"/>
            <w:shd w:val="pct12" w:color="auto" w:fill="auto"/>
          </w:tcPr>
          <w:p w14:paraId="58E71653" w14:textId="77777777" w:rsidR="0098530D" w:rsidRPr="00AB7CA1" w:rsidRDefault="0098530D" w:rsidP="00552502">
            <w:pPr>
              <w:pStyle w:val="Texto"/>
              <w:spacing w:before="40" w:after="40" w:line="225" w:lineRule="exact"/>
              <w:ind w:left="864" w:hanging="432"/>
              <w:rPr>
                <w:b/>
              </w:rPr>
            </w:pPr>
            <w:r w:rsidRPr="00AB7CA1">
              <w:rPr>
                <w:b/>
              </w:rPr>
              <w:t>I.</w:t>
            </w:r>
            <w:r w:rsidRPr="00AB7CA1">
              <w:rPr>
                <w:b/>
              </w:rPr>
              <w:tab/>
              <w:t>Criterios del CFF</w:t>
            </w:r>
          </w:p>
        </w:tc>
      </w:tr>
      <w:tr w:rsidR="0098530D" w:rsidRPr="00AB7CA1" w14:paraId="2D18F819" w14:textId="77777777" w:rsidTr="00552502">
        <w:tblPrEx>
          <w:tblCellMar>
            <w:top w:w="0" w:type="dxa"/>
            <w:bottom w:w="0" w:type="dxa"/>
          </w:tblCellMar>
        </w:tblPrEx>
        <w:trPr>
          <w:cantSplit/>
          <w:trHeight w:val="20"/>
        </w:trPr>
        <w:tc>
          <w:tcPr>
            <w:tcW w:w="5000" w:type="pct"/>
          </w:tcPr>
          <w:p w14:paraId="0AB2413D" w14:textId="77777777" w:rsidR="0098530D" w:rsidRDefault="0098530D" w:rsidP="00552502">
            <w:pPr>
              <w:pStyle w:val="Texto"/>
              <w:spacing w:before="40" w:after="40" w:line="225" w:lineRule="exact"/>
              <w:ind w:left="2016" w:hanging="1152"/>
            </w:pPr>
            <w:r w:rsidRPr="00AB7CA1">
              <w:rPr>
                <w:b/>
              </w:rPr>
              <w:t>7/CFF/N</w:t>
            </w:r>
            <w:r w:rsidRPr="00AB7CA1">
              <w:rPr>
                <w:b/>
              </w:rPr>
              <w:tab/>
            </w:r>
            <w:r w:rsidRPr="00AB7CA1">
              <w:t>Actualización de contribuciones, aprovechamientos y compensación de saldos a favor del contribuyente.</w:t>
            </w:r>
          </w:p>
          <w:p w14:paraId="737D6858" w14:textId="77777777" w:rsidR="0098530D" w:rsidRPr="00AB7CA1" w:rsidRDefault="0098530D" w:rsidP="00552502">
            <w:pPr>
              <w:pStyle w:val="Texto"/>
              <w:spacing w:before="40" w:after="40" w:line="225" w:lineRule="exact"/>
              <w:ind w:left="2016" w:hanging="1152"/>
              <w:rPr>
                <w:b/>
              </w:rPr>
            </w:pPr>
            <w:r w:rsidRPr="00AB7CA1">
              <w:rPr>
                <w:b/>
              </w:rPr>
              <w:t>9/CFF/N</w:t>
            </w:r>
            <w:r w:rsidRPr="00AB7CA1">
              <w:rPr>
                <w:b/>
              </w:rPr>
              <w:tab/>
            </w:r>
            <w:r w:rsidRPr="00AB7CA1">
              <w:t>Resolución de consultas relativas a la metodología utilizada en la determinación de los precios o montos de las contraprestaciones, en operaciones con partes relacionadas. Sujetos que pueden formularlas.</w:t>
            </w:r>
          </w:p>
        </w:tc>
      </w:tr>
      <w:tr w:rsidR="0098530D" w:rsidRPr="00AB7CA1" w14:paraId="443B3945" w14:textId="77777777" w:rsidTr="00552502">
        <w:tblPrEx>
          <w:tblCellMar>
            <w:top w:w="0" w:type="dxa"/>
            <w:bottom w:w="0" w:type="dxa"/>
          </w:tblCellMar>
        </w:tblPrEx>
        <w:trPr>
          <w:cantSplit/>
          <w:trHeight w:val="20"/>
        </w:trPr>
        <w:tc>
          <w:tcPr>
            <w:tcW w:w="5000" w:type="pct"/>
            <w:shd w:val="pct12" w:color="auto" w:fill="auto"/>
          </w:tcPr>
          <w:p w14:paraId="31F2A1F0" w14:textId="77777777" w:rsidR="0098530D" w:rsidRPr="00AB7CA1" w:rsidRDefault="0098530D" w:rsidP="00552502">
            <w:pPr>
              <w:pStyle w:val="Texto"/>
              <w:spacing w:before="40" w:after="40" w:line="250" w:lineRule="exact"/>
              <w:ind w:left="864" w:hanging="432"/>
              <w:rPr>
                <w:b/>
              </w:rPr>
            </w:pPr>
            <w:r w:rsidRPr="00AB7CA1">
              <w:rPr>
                <w:b/>
              </w:rPr>
              <w:t>II.</w:t>
            </w:r>
            <w:r w:rsidRPr="00AB7CA1">
              <w:rPr>
                <w:b/>
              </w:rPr>
              <w:tab/>
              <w:t>Criterios de la Ley del ISR</w:t>
            </w:r>
          </w:p>
        </w:tc>
      </w:tr>
      <w:tr w:rsidR="0098530D" w:rsidRPr="00AB7CA1" w14:paraId="6C02B898" w14:textId="77777777" w:rsidTr="00552502">
        <w:tblPrEx>
          <w:tblCellMar>
            <w:top w:w="0" w:type="dxa"/>
            <w:bottom w:w="0" w:type="dxa"/>
          </w:tblCellMar>
        </w:tblPrEx>
        <w:trPr>
          <w:cantSplit/>
          <w:trHeight w:val="20"/>
        </w:trPr>
        <w:tc>
          <w:tcPr>
            <w:tcW w:w="5000" w:type="pct"/>
          </w:tcPr>
          <w:p w14:paraId="2F10F80A" w14:textId="77777777" w:rsidR="0098530D" w:rsidRDefault="0098530D" w:rsidP="00552502">
            <w:pPr>
              <w:pStyle w:val="Texto"/>
              <w:spacing w:before="40" w:after="40" w:line="250" w:lineRule="exact"/>
              <w:ind w:left="2016" w:hanging="1152"/>
            </w:pPr>
            <w:r w:rsidRPr="00AB7CA1">
              <w:rPr>
                <w:b/>
              </w:rPr>
              <w:t>4/ISR/N</w:t>
            </w:r>
            <w:r w:rsidRPr="00AB7CA1">
              <w:rPr>
                <w:b/>
              </w:rPr>
              <w:tab/>
            </w:r>
            <w:r w:rsidRPr="00AB7CA1">
              <w:t>Residencia fiscal. Formas de acreditarla.</w:t>
            </w:r>
          </w:p>
          <w:p w14:paraId="390867A8" w14:textId="77777777" w:rsidR="0098530D" w:rsidRDefault="0098530D" w:rsidP="00552502">
            <w:pPr>
              <w:pStyle w:val="Texto"/>
              <w:spacing w:before="40" w:after="40" w:line="250" w:lineRule="exact"/>
              <w:ind w:left="2016" w:hanging="1152"/>
            </w:pPr>
            <w:r w:rsidRPr="00AB7CA1">
              <w:rPr>
                <w:b/>
              </w:rPr>
              <w:t>14/ISR/N</w:t>
            </w:r>
            <w:r w:rsidRPr="00AB7CA1">
              <w:rPr>
                <w:b/>
              </w:rPr>
              <w:tab/>
            </w:r>
            <w:r w:rsidRPr="00AB7CA1">
              <w:t>Ingresos acumulables de personas distintas a casas de cambio que se dedican a la compra y venta de divisas. Sólo debe tomarse en consideración la ganancia efectivamente percibida</w:t>
            </w:r>
          </w:p>
          <w:p w14:paraId="127D7193" w14:textId="77777777" w:rsidR="0098530D" w:rsidRDefault="0098530D" w:rsidP="00552502">
            <w:pPr>
              <w:pStyle w:val="Texto"/>
              <w:spacing w:before="40" w:after="40" w:line="250" w:lineRule="exact"/>
              <w:ind w:left="2016" w:hanging="1152"/>
            </w:pPr>
            <w:r w:rsidRPr="00AB7CA1">
              <w:rPr>
                <w:b/>
              </w:rPr>
              <w:t>15/ISR/N</w:t>
            </w:r>
            <w:r w:rsidRPr="00AB7CA1">
              <w:rPr>
                <w:b/>
              </w:rPr>
              <w:tab/>
            </w:r>
            <w:r w:rsidRPr="00AB7CA1">
              <w:t>Autorización para enajenar acciones a costo fiscal. La sociedad emisora de las acciones no requiere estar constituida en México.</w:t>
            </w:r>
          </w:p>
          <w:p w14:paraId="717ACA33" w14:textId="77777777" w:rsidR="0098530D" w:rsidRPr="00AB7CA1" w:rsidRDefault="0098530D" w:rsidP="00552502">
            <w:pPr>
              <w:pStyle w:val="Texto"/>
              <w:spacing w:before="40" w:after="40" w:line="250" w:lineRule="exact"/>
              <w:ind w:left="2016" w:hanging="1152"/>
            </w:pPr>
            <w:r w:rsidRPr="00AB7CA1">
              <w:rPr>
                <w:b/>
              </w:rPr>
              <w:t>32/ISR/N</w:t>
            </w:r>
            <w:r w:rsidRPr="00AB7CA1">
              <w:rPr>
                <w:b/>
              </w:rPr>
              <w:tab/>
            </w:r>
            <w:r w:rsidRPr="00AB7CA1">
              <w:t>Personas morales que celebran operaciones con partes relacionadas residentes en México. Documentación e información comprobatoria que deben conservar.</w:t>
            </w:r>
          </w:p>
          <w:p w14:paraId="0EABF068" w14:textId="77777777" w:rsidR="0098530D" w:rsidRDefault="0098530D" w:rsidP="00552502">
            <w:pPr>
              <w:pStyle w:val="Texto"/>
              <w:spacing w:before="40" w:after="40" w:line="250" w:lineRule="exact"/>
              <w:ind w:left="2016" w:hanging="1152"/>
            </w:pPr>
            <w:r w:rsidRPr="00AB7CA1">
              <w:rPr>
                <w:b/>
              </w:rPr>
              <w:t>33/ISR/N</w:t>
            </w:r>
            <w:r w:rsidRPr="00AB7CA1">
              <w:rPr>
                <w:b/>
              </w:rPr>
              <w:tab/>
            </w:r>
            <w:r w:rsidRPr="00AB7CA1">
              <w:t>Personas morales. Concepto de partes relacionadas.</w:t>
            </w:r>
          </w:p>
          <w:p w14:paraId="75326C37" w14:textId="77777777" w:rsidR="0098530D" w:rsidRDefault="0098530D" w:rsidP="00552502">
            <w:pPr>
              <w:pStyle w:val="Texto"/>
              <w:spacing w:before="40" w:after="40" w:line="250" w:lineRule="exact"/>
              <w:ind w:left="2016" w:hanging="1152"/>
            </w:pPr>
            <w:r w:rsidRPr="00AB7CA1">
              <w:rPr>
                <w:b/>
              </w:rPr>
              <w:t>34/ISR/N</w:t>
            </w:r>
            <w:r w:rsidRPr="00AB7CA1">
              <w:rPr>
                <w:b/>
              </w:rPr>
              <w:tab/>
            </w:r>
            <w:r w:rsidRPr="00AB7CA1">
              <w:t>Personas morales que celebran operaciones con partes relacionadas sin importar su residencia fiscal. Cumplimiento de obligaciones.</w:t>
            </w:r>
          </w:p>
          <w:p w14:paraId="2A6E8127" w14:textId="77777777" w:rsidR="0098530D" w:rsidRDefault="0098530D" w:rsidP="00552502">
            <w:pPr>
              <w:pStyle w:val="Texto"/>
              <w:spacing w:before="40" w:after="40" w:line="250" w:lineRule="exact"/>
              <w:ind w:left="2016" w:hanging="1152"/>
            </w:pPr>
            <w:r w:rsidRPr="00AB7CA1">
              <w:rPr>
                <w:b/>
              </w:rPr>
              <w:t>35/ISR/N</w:t>
            </w:r>
            <w:r w:rsidRPr="00AB7CA1">
              <w:rPr>
                <w:b/>
              </w:rPr>
              <w:tab/>
            </w:r>
            <w:r w:rsidRPr="00AB7CA1">
              <w:t>Personas morales que celebran operaciones con partes relacionadas. Aplicación de las Guías de la OCDE.</w:t>
            </w:r>
          </w:p>
          <w:p w14:paraId="6C5D82B7" w14:textId="77777777" w:rsidR="0098530D" w:rsidRDefault="0098530D" w:rsidP="00552502">
            <w:pPr>
              <w:pStyle w:val="Texto"/>
              <w:spacing w:before="40" w:after="40" w:line="250" w:lineRule="exact"/>
              <w:ind w:left="2016" w:hanging="1152"/>
            </w:pPr>
            <w:r w:rsidRPr="00AB7CA1">
              <w:rPr>
                <w:b/>
              </w:rPr>
              <w:t>36/ISR/N</w:t>
            </w:r>
            <w:r w:rsidRPr="00AB7CA1">
              <w:rPr>
                <w:b/>
              </w:rPr>
              <w:tab/>
            </w:r>
            <w:r w:rsidRPr="00AB7CA1">
              <w:t>Utilidad fiscal neta del ejercicio. En su determinación no debe restarse al resultado fiscal del ejercicio la participación de los trabajadores en las utilidades de la empresa.</w:t>
            </w:r>
          </w:p>
          <w:p w14:paraId="5A6CA69B" w14:textId="77777777" w:rsidR="0098530D" w:rsidRDefault="0098530D" w:rsidP="00552502">
            <w:pPr>
              <w:pStyle w:val="Texto"/>
              <w:spacing w:before="40" w:after="40" w:line="250" w:lineRule="exact"/>
              <w:ind w:left="2016" w:hanging="1152"/>
            </w:pPr>
            <w:r w:rsidRPr="00AB7CA1">
              <w:rPr>
                <w:b/>
              </w:rPr>
              <w:t>45/ISR/N</w:t>
            </w:r>
            <w:r w:rsidRPr="00AB7CA1">
              <w:rPr>
                <w:b/>
              </w:rPr>
              <w:tab/>
            </w:r>
            <w:r w:rsidRPr="00AB7CA1">
              <w:t>Devolución de saldos a favor. No es requisito indispensable la presentación por parte del trabajador del escrito de aviso al patrón.</w:t>
            </w:r>
          </w:p>
          <w:p w14:paraId="15407987" w14:textId="77777777" w:rsidR="0098530D" w:rsidRPr="00AB7CA1" w:rsidRDefault="0098530D" w:rsidP="00552502">
            <w:pPr>
              <w:pStyle w:val="Texto"/>
              <w:spacing w:before="40" w:after="40" w:line="250" w:lineRule="exact"/>
              <w:ind w:left="2016" w:hanging="1152"/>
            </w:pPr>
            <w:r w:rsidRPr="00AB7CA1">
              <w:rPr>
                <w:b/>
              </w:rPr>
              <w:t>57/ISR/N</w:t>
            </w:r>
            <w:r w:rsidRPr="00AB7CA1">
              <w:rPr>
                <w:b/>
              </w:rPr>
              <w:tab/>
            </w:r>
            <w:r w:rsidRPr="00AB7CA1">
              <w:t>Simulación de actos jurídicos en operaciones entre partes relacionadas. Puede determinarse para ingresos procedentes de fuente de riqueza en el país, de cualquier persona obligada al pago del impuesto.</w:t>
            </w:r>
          </w:p>
          <w:p w14:paraId="6582F520" w14:textId="77777777" w:rsidR="0098530D" w:rsidRPr="00AB7CA1" w:rsidRDefault="0098530D" w:rsidP="00552502">
            <w:pPr>
              <w:pStyle w:val="Texto"/>
              <w:spacing w:before="40" w:after="40" w:line="250" w:lineRule="exact"/>
              <w:ind w:left="2016" w:hanging="1152"/>
              <w:rPr>
                <w:b/>
              </w:rPr>
            </w:pPr>
            <w:r w:rsidRPr="00AB7CA1">
              <w:rPr>
                <w:b/>
              </w:rPr>
              <w:t>64/ISR/N</w:t>
            </w:r>
            <w:r w:rsidRPr="00AB7CA1">
              <w:rPr>
                <w:b/>
              </w:rPr>
              <w:tab/>
            </w:r>
            <w:r w:rsidRPr="00AB7CA1">
              <w:t>Intereses pagados a residentes en el extranjero por sociedades financieras de objeto múltiple en operaciones entre personas relacionadas, que deriven de préstamos u otros créditos.</w:t>
            </w:r>
            <w:r w:rsidRPr="00AB7CA1">
              <w:rPr>
                <w:b/>
              </w:rPr>
              <w:t xml:space="preserve"> </w:t>
            </w:r>
          </w:p>
        </w:tc>
      </w:tr>
      <w:tr w:rsidR="0098530D" w:rsidRPr="00AB7CA1" w14:paraId="5D2834D9" w14:textId="77777777" w:rsidTr="00552502">
        <w:tblPrEx>
          <w:tblCellMar>
            <w:top w:w="0" w:type="dxa"/>
            <w:bottom w:w="0" w:type="dxa"/>
          </w:tblCellMar>
        </w:tblPrEx>
        <w:trPr>
          <w:cantSplit/>
          <w:trHeight w:val="20"/>
        </w:trPr>
        <w:tc>
          <w:tcPr>
            <w:tcW w:w="5000" w:type="pct"/>
            <w:shd w:val="pct12" w:color="auto" w:fill="auto"/>
          </w:tcPr>
          <w:p w14:paraId="3F70959B" w14:textId="77777777" w:rsidR="0098530D" w:rsidRPr="00AB7CA1" w:rsidRDefault="0098530D" w:rsidP="00552502">
            <w:pPr>
              <w:pStyle w:val="Texto"/>
              <w:spacing w:before="40" w:after="40" w:line="250" w:lineRule="exact"/>
              <w:ind w:left="864" w:hanging="432"/>
              <w:rPr>
                <w:b/>
              </w:rPr>
            </w:pPr>
            <w:r w:rsidRPr="00AB7CA1">
              <w:rPr>
                <w:b/>
              </w:rPr>
              <w:t>III.</w:t>
            </w:r>
            <w:r w:rsidRPr="00AB7CA1">
              <w:rPr>
                <w:b/>
              </w:rPr>
              <w:tab/>
              <w:t>Criterios de la Ley del IVA</w:t>
            </w:r>
          </w:p>
        </w:tc>
      </w:tr>
      <w:tr w:rsidR="0098530D" w:rsidRPr="00AB7CA1" w14:paraId="23EEAA22" w14:textId="77777777" w:rsidTr="00552502">
        <w:tblPrEx>
          <w:tblCellMar>
            <w:top w:w="0" w:type="dxa"/>
            <w:bottom w:w="0" w:type="dxa"/>
          </w:tblCellMar>
        </w:tblPrEx>
        <w:trPr>
          <w:cantSplit/>
          <w:trHeight w:val="20"/>
        </w:trPr>
        <w:tc>
          <w:tcPr>
            <w:tcW w:w="5000" w:type="pct"/>
          </w:tcPr>
          <w:p w14:paraId="6A8044FE" w14:textId="77777777" w:rsidR="0098530D" w:rsidRDefault="0098530D" w:rsidP="00552502">
            <w:pPr>
              <w:pStyle w:val="Texto"/>
              <w:spacing w:before="40" w:after="40" w:line="250" w:lineRule="exact"/>
              <w:ind w:left="2016" w:hanging="1152"/>
            </w:pPr>
            <w:r w:rsidRPr="00AB7CA1">
              <w:rPr>
                <w:b/>
              </w:rPr>
              <w:lastRenderedPageBreak/>
              <w:t>3/IVA/N</w:t>
            </w:r>
            <w:r w:rsidRPr="00AB7CA1">
              <w:rPr>
                <w:b/>
              </w:rPr>
              <w:tab/>
            </w:r>
            <w:r w:rsidRPr="00AB7CA1">
              <w:t>Traslado de impuesto a una tasa incorrecta.</w:t>
            </w:r>
          </w:p>
          <w:p w14:paraId="55E3AE25" w14:textId="77777777" w:rsidR="0098530D" w:rsidRDefault="0098530D" w:rsidP="00552502">
            <w:pPr>
              <w:pStyle w:val="Texto"/>
              <w:spacing w:before="40" w:after="40" w:line="250" w:lineRule="exact"/>
              <w:ind w:left="2016" w:hanging="1152"/>
            </w:pPr>
            <w:r w:rsidRPr="00AB7CA1">
              <w:rPr>
                <w:b/>
              </w:rPr>
              <w:t>25/IVA/N</w:t>
            </w:r>
            <w:r w:rsidRPr="00AB7CA1">
              <w:rPr>
                <w:b/>
              </w:rPr>
              <w:tab/>
            </w:r>
            <w:r w:rsidRPr="00AB7CA1">
              <w:t>Compensación del IVA. Casos en que procede.</w:t>
            </w:r>
          </w:p>
          <w:p w14:paraId="1A9CB489" w14:textId="77777777" w:rsidR="0098530D" w:rsidRDefault="0098530D" w:rsidP="00552502">
            <w:pPr>
              <w:pStyle w:val="Texto"/>
              <w:spacing w:before="40" w:after="40" w:line="250" w:lineRule="exact"/>
              <w:ind w:left="2016" w:hanging="1152"/>
            </w:pPr>
            <w:r w:rsidRPr="00AB7CA1">
              <w:rPr>
                <w:b/>
              </w:rPr>
              <w:t>30/IVA/N</w:t>
            </w:r>
            <w:r w:rsidRPr="00AB7CA1">
              <w:rPr>
                <w:b/>
              </w:rPr>
              <w:tab/>
            </w:r>
            <w:r w:rsidRPr="00AB7CA1">
              <w:t>Comisiones de agentes de seguros. No se ubican en el supuesto de exención del IVA las contraprestaciones a personas morales que no tengan el carácter de agentes de seguros.</w:t>
            </w:r>
          </w:p>
          <w:p w14:paraId="08C69F40" w14:textId="77777777" w:rsidR="0098530D" w:rsidRDefault="0098530D" w:rsidP="00552502">
            <w:pPr>
              <w:pStyle w:val="Texto"/>
              <w:spacing w:before="40" w:after="40" w:line="250" w:lineRule="exact"/>
              <w:ind w:left="2016" w:hanging="1152"/>
              <w:rPr>
                <w:b/>
                <w:position w:val="10"/>
                <w:szCs w:val="16"/>
                <w:lang w:val="es-ES_tradnl"/>
              </w:rPr>
            </w:pPr>
            <w:r w:rsidRPr="00AB7CA1">
              <w:rPr>
                <w:b/>
              </w:rPr>
              <w:t>35/IVA/N</w:t>
            </w:r>
            <w:r w:rsidRPr="00AB7CA1">
              <w:rPr>
                <w:b/>
              </w:rPr>
              <w:tab/>
            </w:r>
            <w:r w:rsidRPr="00AB7CA1">
              <w:t>Impuesto por la importación de servicios prestados en territorio nacional por residentes en el extranjero. Se causa cuando se dé la prestación del servicio.</w:t>
            </w:r>
          </w:p>
          <w:p w14:paraId="46D8058F" w14:textId="77777777" w:rsidR="0098530D" w:rsidRDefault="0098530D" w:rsidP="00552502">
            <w:pPr>
              <w:pStyle w:val="Texto"/>
              <w:spacing w:before="40" w:after="40" w:line="250" w:lineRule="exact"/>
              <w:ind w:left="2016" w:hanging="1152"/>
            </w:pPr>
            <w:r w:rsidRPr="00AB7CA1">
              <w:rPr>
                <w:b/>
              </w:rPr>
              <w:t>41/IVA/N</w:t>
            </w:r>
            <w:r w:rsidRPr="00AB7CA1">
              <w:rPr>
                <w:b/>
              </w:rPr>
              <w:tab/>
            </w:r>
            <w:r w:rsidRPr="00AB7CA1">
              <w:t>En la enajenación de artículos puestos a bordo de aeronaves. Aplicación del Convenio sobre Transportes Aéreos entre el Gobierno de los Estados Unidos Mexicanos y el Gobierno de los Estados Unidos de América y otros equivalentes.</w:t>
            </w:r>
          </w:p>
          <w:p w14:paraId="685A1856" w14:textId="77777777" w:rsidR="0098530D" w:rsidRDefault="0098530D" w:rsidP="00552502">
            <w:pPr>
              <w:pStyle w:val="Texto"/>
              <w:spacing w:before="40" w:after="40" w:line="250" w:lineRule="exact"/>
              <w:ind w:left="2016" w:hanging="1152"/>
            </w:pPr>
            <w:r w:rsidRPr="00AB7CA1">
              <w:rPr>
                <w:b/>
              </w:rPr>
              <w:t>45/IVA/N</w:t>
            </w:r>
            <w:r w:rsidRPr="00AB7CA1">
              <w:rPr>
                <w:b/>
              </w:rPr>
              <w:tab/>
            </w:r>
            <w:r w:rsidRPr="00AB7CA1">
              <w:t>Acreditamiento del IVA tratándose de contribuyentes que obtengan ingresos por actividades distintas de las establecidas en el artículo 1o. de la Ley del IVA.</w:t>
            </w:r>
          </w:p>
          <w:p w14:paraId="63648FD4" w14:textId="77777777" w:rsidR="0098530D" w:rsidRPr="00AB7CA1" w:rsidRDefault="0098530D" w:rsidP="00552502">
            <w:pPr>
              <w:pStyle w:val="Texto"/>
              <w:spacing w:before="40" w:after="40" w:line="250" w:lineRule="exact"/>
              <w:ind w:left="2016" w:hanging="1152"/>
              <w:rPr>
                <w:b/>
              </w:rPr>
            </w:pPr>
            <w:r w:rsidRPr="00AB7CA1">
              <w:rPr>
                <w:b/>
              </w:rPr>
              <w:t>46/IVA/N</w:t>
            </w:r>
            <w:r w:rsidRPr="00AB7CA1">
              <w:rPr>
                <w:b/>
              </w:rPr>
              <w:tab/>
            </w:r>
            <w:r w:rsidRPr="00AB7CA1">
              <w:t>Retención del 6% al IVA a que se refiere la fracción IV del artículo 1o.-A de la Ley</w:t>
            </w:r>
            <w:r>
              <w:t xml:space="preserve"> </w:t>
            </w:r>
            <w:r w:rsidRPr="00AB7CA1">
              <w:t xml:space="preserve">del IVA </w:t>
            </w:r>
          </w:p>
        </w:tc>
      </w:tr>
      <w:tr w:rsidR="0098530D" w:rsidRPr="00AB7CA1" w14:paraId="5856C566" w14:textId="77777777" w:rsidTr="00552502">
        <w:tblPrEx>
          <w:tblCellMar>
            <w:top w:w="0" w:type="dxa"/>
            <w:bottom w:w="0" w:type="dxa"/>
          </w:tblCellMar>
        </w:tblPrEx>
        <w:trPr>
          <w:cantSplit/>
          <w:trHeight w:val="20"/>
        </w:trPr>
        <w:tc>
          <w:tcPr>
            <w:tcW w:w="5000" w:type="pct"/>
            <w:shd w:val="pct12" w:color="auto" w:fill="auto"/>
          </w:tcPr>
          <w:p w14:paraId="1601A655" w14:textId="77777777" w:rsidR="0098530D" w:rsidRPr="00AB7CA1" w:rsidRDefault="0098530D" w:rsidP="00552502">
            <w:pPr>
              <w:pStyle w:val="Texto"/>
              <w:spacing w:before="40" w:after="40" w:line="251" w:lineRule="exact"/>
              <w:ind w:left="864" w:hanging="432"/>
              <w:rPr>
                <w:b/>
              </w:rPr>
            </w:pPr>
            <w:r w:rsidRPr="00AB7CA1">
              <w:rPr>
                <w:b/>
              </w:rPr>
              <w:t>IV.</w:t>
            </w:r>
            <w:r w:rsidRPr="00AB7CA1">
              <w:rPr>
                <w:b/>
              </w:rPr>
              <w:tab/>
              <w:t>Criterio de la Ley del IEPS</w:t>
            </w:r>
          </w:p>
        </w:tc>
      </w:tr>
      <w:tr w:rsidR="0098530D" w:rsidRPr="00AB7CA1" w14:paraId="0739130D" w14:textId="77777777" w:rsidTr="00552502">
        <w:tblPrEx>
          <w:tblCellMar>
            <w:top w:w="0" w:type="dxa"/>
            <w:bottom w:w="0" w:type="dxa"/>
          </w:tblCellMar>
        </w:tblPrEx>
        <w:trPr>
          <w:cantSplit/>
          <w:trHeight w:val="20"/>
        </w:trPr>
        <w:tc>
          <w:tcPr>
            <w:tcW w:w="5000" w:type="pct"/>
          </w:tcPr>
          <w:p w14:paraId="13DFAE94" w14:textId="77777777" w:rsidR="0098530D" w:rsidRPr="00AB7CA1" w:rsidRDefault="0098530D" w:rsidP="00552502">
            <w:pPr>
              <w:pStyle w:val="Texto"/>
              <w:spacing w:before="40" w:after="40" w:line="251" w:lineRule="exact"/>
              <w:ind w:left="2016" w:hanging="1152"/>
              <w:rPr>
                <w:b/>
              </w:rPr>
            </w:pPr>
            <w:r w:rsidRPr="00AB7CA1">
              <w:rPr>
                <w:b/>
              </w:rPr>
              <w:t>3/IEPS/N</w:t>
            </w:r>
            <w:r w:rsidRPr="00AB7CA1">
              <w:rPr>
                <w:b/>
              </w:rPr>
              <w:tab/>
            </w:r>
            <w:r w:rsidRPr="00AB7CA1">
              <w:t xml:space="preserve">Todos los tipos de gasolina que se importen, pagan el IEPS aún la de 100 a 115 octanos, utilizada solamente para vehículos deportivos especiales de carreras. </w:t>
            </w:r>
          </w:p>
        </w:tc>
      </w:tr>
      <w:tr w:rsidR="0098530D" w:rsidRPr="00AB7CA1" w14:paraId="15AB68AE" w14:textId="77777777" w:rsidTr="00552502">
        <w:tblPrEx>
          <w:tblCellMar>
            <w:top w:w="0" w:type="dxa"/>
            <w:bottom w:w="0" w:type="dxa"/>
          </w:tblCellMar>
        </w:tblPrEx>
        <w:trPr>
          <w:cantSplit/>
          <w:trHeight w:val="20"/>
        </w:trPr>
        <w:tc>
          <w:tcPr>
            <w:tcW w:w="5000" w:type="pct"/>
            <w:shd w:val="pct12" w:color="auto" w:fill="auto"/>
          </w:tcPr>
          <w:p w14:paraId="339C7E70" w14:textId="77777777" w:rsidR="0098530D" w:rsidRPr="00AB7CA1" w:rsidRDefault="0098530D" w:rsidP="00552502">
            <w:pPr>
              <w:pStyle w:val="Texto"/>
              <w:spacing w:before="40" w:after="40" w:line="251" w:lineRule="exact"/>
              <w:ind w:left="864" w:hanging="432"/>
              <w:rPr>
                <w:b/>
              </w:rPr>
            </w:pPr>
            <w:r w:rsidRPr="00AB7CA1">
              <w:rPr>
                <w:b/>
              </w:rPr>
              <w:t>V.</w:t>
            </w:r>
            <w:r w:rsidRPr="00AB7CA1">
              <w:rPr>
                <w:b/>
              </w:rPr>
              <w:tab/>
              <w:t>Criterio de la LIF</w:t>
            </w:r>
          </w:p>
        </w:tc>
      </w:tr>
      <w:tr w:rsidR="0098530D" w:rsidRPr="00AB7CA1" w14:paraId="61DB1DA6" w14:textId="77777777" w:rsidTr="00552502">
        <w:tblPrEx>
          <w:tblCellMar>
            <w:top w:w="0" w:type="dxa"/>
            <w:bottom w:w="0" w:type="dxa"/>
          </w:tblCellMar>
        </w:tblPrEx>
        <w:trPr>
          <w:cantSplit/>
          <w:trHeight w:val="20"/>
        </w:trPr>
        <w:tc>
          <w:tcPr>
            <w:tcW w:w="5000" w:type="pct"/>
            <w:shd w:val="pct12" w:color="auto" w:fill="auto"/>
          </w:tcPr>
          <w:p w14:paraId="6BDB9474" w14:textId="77777777" w:rsidR="0098530D" w:rsidRPr="00AB7CA1" w:rsidRDefault="0098530D" w:rsidP="00552502">
            <w:pPr>
              <w:pStyle w:val="Texto"/>
              <w:spacing w:before="40" w:after="40" w:line="251" w:lineRule="exact"/>
              <w:ind w:left="2016" w:hanging="1152"/>
              <w:rPr>
                <w:b/>
              </w:rPr>
            </w:pPr>
            <w:r w:rsidRPr="00AB7CA1">
              <w:rPr>
                <w:b/>
              </w:rPr>
              <w:t>1/LIF/N</w:t>
            </w:r>
            <w:r w:rsidRPr="00AB7CA1">
              <w:rPr>
                <w:b/>
              </w:rPr>
              <w:tab/>
            </w:r>
            <w:r w:rsidRPr="00AB7CA1">
              <w:t>Créditos fiscales previamente cubiertos e impugnados.</w:t>
            </w:r>
          </w:p>
        </w:tc>
      </w:tr>
      <w:tr w:rsidR="0098530D" w:rsidRPr="00AB7CA1" w14:paraId="51F78485" w14:textId="77777777" w:rsidTr="00552502">
        <w:tblPrEx>
          <w:tblCellMar>
            <w:top w:w="0" w:type="dxa"/>
            <w:bottom w:w="0" w:type="dxa"/>
          </w:tblCellMar>
        </w:tblPrEx>
        <w:trPr>
          <w:cantSplit/>
          <w:trHeight w:val="20"/>
        </w:trPr>
        <w:tc>
          <w:tcPr>
            <w:tcW w:w="5000" w:type="pct"/>
            <w:shd w:val="pct12" w:color="auto" w:fill="auto"/>
          </w:tcPr>
          <w:p w14:paraId="2E0D5EB8" w14:textId="77777777" w:rsidR="0098530D" w:rsidRPr="00AB7CA1" w:rsidRDefault="0098530D" w:rsidP="00552502">
            <w:pPr>
              <w:pStyle w:val="Texto"/>
              <w:spacing w:before="40" w:after="40" w:line="251" w:lineRule="exact"/>
              <w:ind w:left="864" w:hanging="432"/>
              <w:rPr>
                <w:b/>
              </w:rPr>
            </w:pPr>
            <w:r w:rsidRPr="00AB7CA1">
              <w:rPr>
                <w:b/>
              </w:rPr>
              <w:t>VI.</w:t>
            </w:r>
            <w:r w:rsidRPr="00AB7CA1">
              <w:rPr>
                <w:b/>
              </w:rPr>
              <w:tab/>
              <w:t>Criterio de la LISH</w:t>
            </w:r>
          </w:p>
        </w:tc>
      </w:tr>
      <w:tr w:rsidR="0098530D" w:rsidRPr="00AB7CA1" w14:paraId="6A16BDF0" w14:textId="77777777" w:rsidTr="00552502">
        <w:tblPrEx>
          <w:tblCellMar>
            <w:top w:w="0" w:type="dxa"/>
            <w:bottom w:w="0" w:type="dxa"/>
          </w:tblCellMar>
        </w:tblPrEx>
        <w:trPr>
          <w:cantSplit/>
          <w:trHeight w:val="20"/>
        </w:trPr>
        <w:tc>
          <w:tcPr>
            <w:tcW w:w="5000" w:type="pct"/>
          </w:tcPr>
          <w:p w14:paraId="1FA3CDB1" w14:textId="77777777" w:rsidR="0098530D" w:rsidRPr="00AB7CA1" w:rsidRDefault="0098530D" w:rsidP="00552502">
            <w:pPr>
              <w:pStyle w:val="Texto"/>
              <w:spacing w:before="40" w:after="40" w:line="251" w:lineRule="exact"/>
              <w:ind w:left="2016" w:hanging="1152"/>
              <w:rPr>
                <w:b/>
              </w:rPr>
            </w:pPr>
            <w:r w:rsidRPr="00AB7CA1">
              <w:rPr>
                <w:b/>
              </w:rPr>
              <w:t>2/LISH/N</w:t>
            </w:r>
            <w:r w:rsidRPr="00AB7CA1">
              <w:rPr>
                <w:b/>
              </w:rPr>
              <w:tab/>
            </w:r>
            <w:r w:rsidRPr="00AB7CA1">
              <w:t>Contraprestaciones a favor de los contratistas en los contratos para la exploración y extracción de hidrocarburos. Momento de acumulación para los efectos del ISR.</w:t>
            </w:r>
          </w:p>
        </w:tc>
      </w:tr>
    </w:tbl>
    <w:bookmarkEnd w:id="0"/>
    <w:p w14:paraId="05819AB3" w14:textId="77777777" w:rsidR="0098530D" w:rsidRDefault="0098530D" w:rsidP="0098530D">
      <w:pPr>
        <w:pStyle w:val="Texto"/>
        <w:spacing w:after="80" w:line="214" w:lineRule="exact"/>
        <w:ind w:left="864" w:hanging="576"/>
        <w:rPr>
          <w:b/>
        </w:rPr>
      </w:pPr>
      <w:r w:rsidRPr="00AB7CA1">
        <w:rPr>
          <w:b/>
        </w:rPr>
        <w:t>A.</w:t>
      </w:r>
      <w:r w:rsidRPr="00AB7CA1">
        <w:rPr>
          <w:b/>
        </w:rPr>
        <w:tab/>
        <w:t>Vigentes</w:t>
      </w:r>
    </w:p>
    <w:p w14:paraId="581877D4" w14:textId="77777777" w:rsidR="0098530D" w:rsidRDefault="0098530D" w:rsidP="0098530D">
      <w:pPr>
        <w:pStyle w:val="Texto"/>
        <w:spacing w:after="80" w:line="214" w:lineRule="exact"/>
        <w:ind w:left="1584" w:hanging="720"/>
        <w:rPr>
          <w:b/>
        </w:rPr>
      </w:pPr>
      <w:r w:rsidRPr="00AB7CA1">
        <w:rPr>
          <w:b/>
        </w:rPr>
        <w:t>I.</w:t>
      </w:r>
      <w:r w:rsidRPr="00AB7CA1">
        <w:rPr>
          <w:b/>
        </w:rPr>
        <w:tab/>
        <w:t>Criterios del CFF</w:t>
      </w:r>
    </w:p>
    <w:p w14:paraId="3DB9DFB3" w14:textId="77777777" w:rsidR="0098530D" w:rsidRPr="00AB7CA1" w:rsidRDefault="0098530D" w:rsidP="0098530D">
      <w:pPr>
        <w:pStyle w:val="Texto"/>
        <w:spacing w:after="80" w:line="214" w:lineRule="exact"/>
        <w:ind w:left="2736" w:hanging="1152"/>
        <w:rPr>
          <w:b/>
        </w:rPr>
      </w:pPr>
      <w:r w:rsidRPr="00AB7CA1">
        <w:rPr>
          <w:b/>
        </w:rPr>
        <w:t>1/CFF/N</w:t>
      </w:r>
      <w:r w:rsidRPr="00AB7CA1">
        <w:rPr>
          <w:b/>
        </w:rPr>
        <w:tab/>
        <w:t>Crédito fiscal. Es firme cuando han transcurrido los términos legales para su impugnación, exista desistimiento a este o su resolución ya no admita medio de defensa alguno.</w:t>
      </w:r>
    </w:p>
    <w:p w14:paraId="1EC7AE25" w14:textId="77777777" w:rsidR="0098530D" w:rsidRPr="00AB7CA1" w:rsidRDefault="0098530D" w:rsidP="0098530D">
      <w:pPr>
        <w:pStyle w:val="Texto"/>
        <w:spacing w:after="80" w:line="214" w:lineRule="exact"/>
        <w:ind w:left="2736" w:hanging="1152"/>
      </w:pPr>
      <w:r w:rsidRPr="00AB7CA1">
        <w:tab/>
        <w:t>Atendiendo a los efectos previstos en diversos artículos del CFF, un crédito fiscal es firme cuando el mismo ha sido consentido por los particulares, al no haberse impugnado dentro de los plazos legales para ello; cuando habiendo sido impugnado, los particulares se desistan del medio de defensa respectivo o; cuando en el medio de defensa se emita resolución que confirme la validez del acto impugnado, deseche o sobresea el recurso o juicio, y esta no admita otro medio de defensa o recurso procesal o, admitiéndolos, los mismos no se hayan promovido dentro de los plazos legales.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197E66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D708C4B" w14:textId="77777777" w:rsidR="0098530D" w:rsidRPr="00AB7CA1" w:rsidRDefault="0098530D" w:rsidP="00552502">
            <w:pPr>
              <w:pStyle w:val="Texto"/>
              <w:spacing w:after="80" w:line="214"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11C304B2" w14:textId="77777777" w:rsidR="0098530D" w:rsidRPr="00AB7CA1" w:rsidRDefault="0098530D" w:rsidP="00552502">
            <w:pPr>
              <w:pStyle w:val="Texto"/>
              <w:spacing w:after="80" w:line="214" w:lineRule="exact"/>
              <w:ind w:firstLine="0"/>
              <w:jc w:val="center"/>
              <w:rPr>
                <w:b/>
              </w:rPr>
            </w:pPr>
            <w:r w:rsidRPr="00AB7CA1">
              <w:rPr>
                <w:b/>
              </w:rPr>
              <w:t>Primer antecedente</w:t>
            </w:r>
          </w:p>
        </w:tc>
      </w:tr>
      <w:tr w:rsidR="0098530D" w:rsidRPr="00AB7CA1" w14:paraId="2A48FD3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B6F9B32" w14:textId="77777777" w:rsidR="0098530D" w:rsidRPr="00AB7CA1" w:rsidRDefault="0098530D" w:rsidP="00552502">
            <w:pPr>
              <w:pStyle w:val="Texto"/>
              <w:spacing w:after="80" w:line="214" w:lineRule="exact"/>
              <w:ind w:firstLine="0"/>
            </w:pPr>
            <w:r w:rsidRPr="00AB7CA1">
              <w:t>2008</w:t>
            </w:r>
          </w:p>
        </w:tc>
        <w:tc>
          <w:tcPr>
            <w:tcW w:w="3237" w:type="pct"/>
            <w:tcBorders>
              <w:top w:val="single" w:sz="6" w:space="0" w:color="auto"/>
              <w:left w:val="single" w:sz="6" w:space="0" w:color="auto"/>
              <w:bottom w:val="single" w:sz="6" w:space="0" w:color="auto"/>
              <w:right w:val="single" w:sz="6" w:space="0" w:color="auto"/>
            </w:tcBorders>
          </w:tcPr>
          <w:p w14:paraId="43A19E76" w14:textId="77777777" w:rsidR="0098530D" w:rsidRPr="00AB7CA1" w:rsidRDefault="0098530D" w:rsidP="00552502">
            <w:pPr>
              <w:pStyle w:val="Texto"/>
              <w:spacing w:after="80" w:line="214" w:lineRule="exact"/>
              <w:ind w:firstLine="0"/>
            </w:pPr>
            <w:r w:rsidRPr="00AB7CA1">
              <w:t>Oficio 600-04-02-2008-75872 de 1 de septiembre de 2008, mediante el cual se dan a conocer los criterios normativos aprobados a agosto de 2008. Oficio 600-04-02-2009-73416 de 7 de enero de 2009, a través del cual se da a conocer el Boletín 2008, con número de criterio normativo 1/2008/CFF.</w:t>
            </w:r>
          </w:p>
        </w:tc>
      </w:tr>
    </w:tbl>
    <w:p w14:paraId="4D280E56" w14:textId="77777777" w:rsidR="0098530D" w:rsidRPr="00AB7CA1" w:rsidRDefault="0098530D" w:rsidP="0098530D">
      <w:pPr>
        <w:pStyle w:val="Texto"/>
        <w:spacing w:after="80" w:line="214" w:lineRule="exact"/>
      </w:pPr>
    </w:p>
    <w:p w14:paraId="14BAD8C7" w14:textId="77777777" w:rsidR="0098530D" w:rsidRPr="00AB7CA1" w:rsidRDefault="0098530D" w:rsidP="0098530D">
      <w:pPr>
        <w:pStyle w:val="Texto"/>
        <w:spacing w:after="80" w:line="214" w:lineRule="exact"/>
        <w:ind w:left="2736" w:hanging="1152"/>
        <w:rPr>
          <w:b/>
        </w:rPr>
      </w:pPr>
      <w:r w:rsidRPr="00AB7CA1">
        <w:rPr>
          <w:b/>
        </w:rPr>
        <w:t>2/CFF/N</w:t>
      </w:r>
      <w:r w:rsidRPr="00AB7CA1">
        <w:tab/>
      </w:r>
      <w:r w:rsidRPr="00AB7CA1">
        <w:rPr>
          <w:b/>
        </w:rPr>
        <w:t>Normas sustantivas. Reúnen esta característica las aplicables para determinar la pérdida fiscal.</w:t>
      </w:r>
    </w:p>
    <w:p w14:paraId="5F1B1478" w14:textId="77777777" w:rsidR="0098530D" w:rsidRPr="00AB7CA1" w:rsidRDefault="0098530D" w:rsidP="0098530D">
      <w:pPr>
        <w:pStyle w:val="Texto"/>
        <w:spacing w:after="80" w:line="214" w:lineRule="exact"/>
        <w:ind w:left="2736" w:hanging="1152"/>
      </w:pPr>
      <w:r w:rsidRPr="00AB7CA1">
        <w:rPr>
          <w:b/>
        </w:rPr>
        <w:tab/>
      </w:r>
      <w:r w:rsidRPr="00AB7CA1">
        <w:t>De conformidad con el artículo 6o. del CFF, las contribuciones se determinan conforme a las disposiciones vigentes en el momento de su causación.</w:t>
      </w:r>
    </w:p>
    <w:p w14:paraId="2CED390E" w14:textId="77777777" w:rsidR="0098530D" w:rsidRPr="00AB7CA1" w:rsidRDefault="0098530D" w:rsidP="0098530D">
      <w:pPr>
        <w:pStyle w:val="Texto"/>
        <w:spacing w:after="80" w:line="214" w:lineRule="exact"/>
        <w:ind w:left="2736" w:hanging="1152"/>
      </w:pPr>
      <w:r w:rsidRPr="00AB7CA1">
        <w:lastRenderedPageBreak/>
        <w:tab/>
        <w:t>Las disposiciones que establecen el derecho a un crédito o a un acreditamiento fiscal forman parte del mecanismo para determinar las contribuciones.</w:t>
      </w:r>
    </w:p>
    <w:p w14:paraId="23B2926C" w14:textId="77777777" w:rsidR="0098530D" w:rsidRPr="00AB7CA1" w:rsidRDefault="0098530D" w:rsidP="0098530D">
      <w:pPr>
        <w:pStyle w:val="Texto"/>
        <w:spacing w:after="80" w:line="214" w:lineRule="exact"/>
        <w:ind w:left="2736" w:hanging="1152"/>
      </w:pPr>
      <w:r w:rsidRPr="00AB7CA1">
        <w:tab/>
        <w:t>Dado que la Ley del ISR establece la facultad de disminuir la pérdida fiscal de la utilidad fiscal a efecto de determinar el resultado fiscal, e igualmente la de actualizar la pérdida fiscal, las disposiciones relacionadas con el cálculo de dicha pérdida fiscal disminuible, inclusive su actualización, son normas que forman parte del mecanismo de determinación y del proceso para integrar la base del impuesto.</w:t>
      </w:r>
    </w:p>
    <w:p w14:paraId="14A805E4" w14:textId="77777777" w:rsidR="0098530D" w:rsidRPr="00AB7CA1" w:rsidRDefault="0098530D" w:rsidP="0098530D">
      <w:pPr>
        <w:pStyle w:val="Texto"/>
        <w:spacing w:after="80" w:line="214" w:lineRule="exact"/>
        <w:ind w:left="2736" w:hanging="1152"/>
      </w:pPr>
      <w:r w:rsidRPr="00AB7CA1">
        <w:tab/>
        <w:t>Por consiguiente, la pérdida fiscal disminuible se calculará conforme a las disposiciones vigentes al momento de causarse el ISR.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648E4F48"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0CF6A857" w14:textId="77777777" w:rsidR="0098530D" w:rsidRPr="00AB7CA1" w:rsidRDefault="0098530D" w:rsidP="00552502">
            <w:pPr>
              <w:pStyle w:val="Texto"/>
              <w:spacing w:after="80" w:line="214"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DA4C108" w14:textId="77777777" w:rsidR="0098530D" w:rsidRPr="00AB7CA1" w:rsidRDefault="0098530D" w:rsidP="00552502">
            <w:pPr>
              <w:pStyle w:val="Texto"/>
              <w:spacing w:after="80" w:line="214" w:lineRule="exact"/>
              <w:ind w:firstLine="0"/>
              <w:jc w:val="center"/>
              <w:rPr>
                <w:b/>
              </w:rPr>
            </w:pPr>
            <w:r w:rsidRPr="00AB7CA1">
              <w:rPr>
                <w:b/>
              </w:rPr>
              <w:t>Primer antecedente</w:t>
            </w:r>
          </w:p>
        </w:tc>
      </w:tr>
      <w:tr w:rsidR="0098530D" w:rsidRPr="00AB7CA1" w14:paraId="2E5739E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2847544" w14:textId="77777777" w:rsidR="0098530D" w:rsidRPr="00AB7CA1" w:rsidRDefault="0098530D" w:rsidP="00552502">
            <w:pPr>
              <w:pStyle w:val="Texto"/>
              <w:spacing w:after="80" w:line="214" w:lineRule="exact"/>
              <w:ind w:firstLine="0"/>
            </w:pPr>
            <w:r w:rsidRPr="00AB7CA1">
              <w:t>1996</w:t>
            </w:r>
          </w:p>
        </w:tc>
        <w:tc>
          <w:tcPr>
            <w:tcW w:w="3237" w:type="pct"/>
            <w:tcBorders>
              <w:top w:val="single" w:sz="6" w:space="0" w:color="auto"/>
              <w:left w:val="single" w:sz="6" w:space="0" w:color="auto"/>
              <w:bottom w:val="single" w:sz="6" w:space="0" w:color="auto"/>
              <w:right w:val="single" w:sz="6" w:space="0" w:color="auto"/>
            </w:tcBorders>
          </w:tcPr>
          <w:p w14:paraId="6E93920F" w14:textId="77777777" w:rsidR="0098530D" w:rsidRPr="00AB7CA1" w:rsidRDefault="0098530D" w:rsidP="00552502">
            <w:pPr>
              <w:pStyle w:val="Texto"/>
              <w:spacing w:after="80" w:line="214" w:lineRule="exact"/>
              <w:ind w:firstLine="0"/>
            </w:pPr>
            <w:r w:rsidRPr="00AB7CA1">
              <w:t>Oficio 325-A-VII-10960 de 14 de octubre de 1996, a través del cual se hacen de conocimiento los criterios aprobados por el Comité de Normatividad en su sesión No. 21, celebrada el 10 de octubre de 1996.</w:t>
            </w:r>
          </w:p>
        </w:tc>
      </w:tr>
    </w:tbl>
    <w:p w14:paraId="6355B892" w14:textId="77777777" w:rsidR="0098530D" w:rsidRPr="00AB7CA1" w:rsidRDefault="0098530D" w:rsidP="0098530D">
      <w:pPr>
        <w:pStyle w:val="Texto"/>
        <w:spacing w:after="80" w:line="214" w:lineRule="exact"/>
        <w:rPr>
          <w:b/>
        </w:rPr>
      </w:pPr>
    </w:p>
    <w:p w14:paraId="6A96AED3" w14:textId="77777777" w:rsidR="0098530D" w:rsidRPr="00AB7CA1" w:rsidRDefault="0098530D" w:rsidP="0098530D">
      <w:pPr>
        <w:pStyle w:val="Texto"/>
        <w:spacing w:after="80" w:line="214" w:lineRule="exact"/>
        <w:ind w:left="2736" w:hanging="1152"/>
        <w:rPr>
          <w:b/>
        </w:rPr>
      </w:pPr>
      <w:r w:rsidRPr="00AB7CA1">
        <w:rPr>
          <w:b/>
        </w:rPr>
        <w:t>3/CFF/N</w:t>
      </w:r>
      <w:r w:rsidRPr="00AB7CA1">
        <w:rPr>
          <w:b/>
        </w:rPr>
        <w:tab/>
        <w:t>Principios de contabilidad generalmente aceptados y normas de información financiera. Su aplicación.</w:t>
      </w:r>
    </w:p>
    <w:p w14:paraId="31BDC32C" w14:textId="77777777" w:rsidR="0098530D" w:rsidRDefault="0098530D" w:rsidP="0098530D">
      <w:pPr>
        <w:pStyle w:val="Texto"/>
        <w:spacing w:after="80" w:line="214" w:lineRule="exact"/>
        <w:ind w:left="2736" w:hanging="1152"/>
      </w:pPr>
      <w:r w:rsidRPr="00AB7CA1">
        <w:tab/>
        <w:t xml:space="preserve">Los artículos 58-A, fracción III, segundo párrafo, inciso b) y 60, segundo párrafo del CFF </w:t>
      </w:r>
      <w:bookmarkStart w:id="1" w:name="N_Hlk154487483"/>
      <w:r w:rsidRPr="00AB7CA1">
        <w:t>remiten a los principios de contabilidad generalmente aceptados</w:t>
      </w:r>
      <w:bookmarkEnd w:id="1"/>
      <w:r w:rsidRPr="00AB7CA1">
        <w:t>; los artículos 28, fracción XXVII, sexto párrafo, 76-A, fracción III, segundo párrafo, inciso a), numerales 2 y 4; 78, segundo párrafo; 180, último párrafo y 182, fracción II, primer párrafo, numerales 3 y 5 de la Ley del ISR, hacen alusión a las normas de información financiera, y los artículos 28 y 56, segundo párrafo del Reglamento de la Ley del ISR refieren a ambas.</w:t>
      </w:r>
    </w:p>
    <w:p w14:paraId="57F545C0" w14:textId="77777777" w:rsidR="0098530D" w:rsidRPr="00AB7CA1" w:rsidRDefault="0098530D" w:rsidP="0098530D">
      <w:pPr>
        <w:pStyle w:val="Texto"/>
        <w:spacing w:line="232" w:lineRule="exact"/>
        <w:ind w:left="2736" w:hanging="1152"/>
      </w:pPr>
      <w:r w:rsidRPr="00AB7CA1">
        <w:tab/>
        <w:t>El artículo 40, fracción IV de la LISH remite a normas de información financiera mexicanas, asimismo el artículo 182, primer párrafo, fracción I, inciso a), tercer párrafo, numeral 1, de la Ley del ISR alude a los principios de contabilidad generalmente aceptados en los Estados Unidos de América o a los principios de contabilidad generalmente aceptados internacionalmente.</w:t>
      </w:r>
    </w:p>
    <w:p w14:paraId="7781BDA0" w14:textId="77777777" w:rsidR="0098530D" w:rsidRPr="00AB7CA1" w:rsidRDefault="0098530D" w:rsidP="0098530D">
      <w:pPr>
        <w:pStyle w:val="Texto"/>
        <w:spacing w:line="232" w:lineRule="exact"/>
        <w:ind w:left="2736" w:hanging="1152"/>
      </w:pPr>
      <w:r w:rsidRPr="00AB7CA1">
        <w:tab/>
        <w:t>En los supuestos a que se refiere el primer párrafo, las disposiciones fiscales no distinguen si los principios o las normas son aquéllas emitidas por un organismo nacional o internacional; en ese sentido, basta con que sean las que se encuentren vigentes en el lugar y al momento de su aplicación, y que resulten aplicables al contribuyente de que se trate.</w:t>
      </w:r>
    </w:p>
    <w:p w14:paraId="47548C06" w14:textId="77777777" w:rsidR="0098530D" w:rsidRDefault="0098530D" w:rsidP="0098530D">
      <w:pPr>
        <w:pStyle w:val="Texto"/>
        <w:spacing w:line="232" w:lineRule="exact"/>
        <w:ind w:left="2736" w:hanging="1152"/>
      </w:pPr>
      <w:r w:rsidRPr="00AB7CA1">
        <w:tab/>
        <w:t>En los supuestos a que se refiere el segundo párrafo de este criterio, las disposiciones fiscales diferencian entre las normas mexicanas; Normas de Información Financiera, los principios estadounidenses, United States Generally Accepted Accounting Principles y los principios internacionales, International Financial Reporting Standards; por ello, respecto de los preceptos jurídicos en análisis, es necesario aplicar aquéllos emitidos por el organismo que corresponda, ya sea mexicano, Consejo Mexicano de Normas de Información Financiera, A.C., estadounidense, Financial Accounting Standards Board o internacional, International Accounting Standards Board, que se encuentren vigentes en el momento en que se deba determinar la contribución y que resulten aplicables al contribuyente de que se trate.</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66F49D2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118CA769" w14:textId="77777777" w:rsidR="0098530D" w:rsidRPr="00AB7CA1" w:rsidRDefault="0098530D" w:rsidP="00552502">
            <w:pPr>
              <w:pStyle w:val="Texto"/>
              <w:spacing w:line="232"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BFF29D4" w14:textId="77777777" w:rsidR="0098530D" w:rsidRPr="00AB7CA1" w:rsidRDefault="0098530D" w:rsidP="00552502">
            <w:pPr>
              <w:pStyle w:val="Texto"/>
              <w:spacing w:line="232" w:lineRule="exact"/>
              <w:ind w:firstLine="0"/>
              <w:jc w:val="center"/>
              <w:rPr>
                <w:b/>
              </w:rPr>
            </w:pPr>
            <w:r w:rsidRPr="00AB7CA1">
              <w:rPr>
                <w:b/>
              </w:rPr>
              <w:t>Primer antecedente</w:t>
            </w:r>
          </w:p>
        </w:tc>
      </w:tr>
      <w:tr w:rsidR="0098530D" w:rsidRPr="00AB7CA1" w14:paraId="2C39CB6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513ECE84" w14:textId="77777777" w:rsidR="0098530D" w:rsidRPr="00AB7CA1" w:rsidRDefault="0098530D" w:rsidP="00552502">
            <w:pPr>
              <w:pStyle w:val="Texto"/>
              <w:spacing w:line="232" w:lineRule="exact"/>
              <w:ind w:firstLine="0"/>
            </w:pPr>
            <w:r w:rsidRPr="00AB7CA1">
              <w:lastRenderedPageBreak/>
              <w:t>2013</w:t>
            </w:r>
          </w:p>
        </w:tc>
        <w:tc>
          <w:tcPr>
            <w:tcW w:w="3237" w:type="pct"/>
            <w:tcBorders>
              <w:top w:val="single" w:sz="6" w:space="0" w:color="auto"/>
              <w:left w:val="single" w:sz="6" w:space="0" w:color="auto"/>
              <w:bottom w:val="single" w:sz="6" w:space="0" w:color="auto"/>
              <w:right w:val="single" w:sz="6" w:space="0" w:color="auto"/>
            </w:tcBorders>
          </w:tcPr>
          <w:p w14:paraId="718591DD" w14:textId="77777777" w:rsidR="0098530D" w:rsidRPr="00AB7CA1" w:rsidRDefault="0098530D" w:rsidP="00552502">
            <w:pPr>
              <w:pStyle w:val="Texto"/>
              <w:spacing w:line="232" w:lineRule="exact"/>
              <w:ind w:firstLine="0"/>
            </w:pPr>
            <w:r w:rsidRPr="00AB7CA1">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3/2013/CFF.</w:t>
            </w:r>
          </w:p>
        </w:tc>
      </w:tr>
    </w:tbl>
    <w:p w14:paraId="403D6C5D" w14:textId="77777777" w:rsidR="0098530D" w:rsidRPr="00AB7CA1" w:rsidRDefault="0098530D" w:rsidP="0098530D">
      <w:pPr>
        <w:pStyle w:val="Texto"/>
        <w:spacing w:line="232" w:lineRule="exact"/>
        <w:rPr>
          <w:b/>
        </w:rPr>
      </w:pPr>
    </w:p>
    <w:p w14:paraId="0F72F0DF" w14:textId="77777777" w:rsidR="0098530D" w:rsidRPr="00AB7CA1" w:rsidRDefault="0098530D" w:rsidP="0098530D">
      <w:pPr>
        <w:pStyle w:val="Texto"/>
        <w:spacing w:line="232" w:lineRule="exact"/>
        <w:ind w:left="2736" w:hanging="1152"/>
        <w:rPr>
          <w:b/>
        </w:rPr>
      </w:pPr>
      <w:r w:rsidRPr="00AB7CA1">
        <w:rPr>
          <w:b/>
        </w:rPr>
        <w:t>4/CFF/N</w:t>
      </w:r>
      <w:r w:rsidRPr="00AB7CA1">
        <w:rPr>
          <w:b/>
        </w:rPr>
        <w:tab/>
        <w:t>Momento en que se lleva a cabo la fusión, para efectos de la presentación del aviso de cancelación en el RFC por fusión de sociedades.</w:t>
      </w:r>
    </w:p>
    <w:p w14:paraId="478F609F" w14:textId="77777777" w:rsidR="0098530D" w:rsidRPr="00AB7CA1" w:rsidRDefault="0098530D" w:rsidP="0098530D">
      <w:pPr>
        <w:pStyle w:val="Texto"/>
        <w:spacing w:line="232" w:lineRule="exact"/>
        <w:ind w:left="2736" w:hanging="1152"/>
      </w:pPr>
      <w:r w:rsidRPr="00AB7CA1">
        <w:rPr>
          <w:b/>
        </w:rPr>
        <w:tab/>
      </w:r>
      <w:r w:rsidRPr="00AB7CA1">
        <w:t>El artículo 14-B, fracción I, inciso a) del CFF establece la obligación de presentar el aviso de fusión de sociedades y el diverso 30, fracción XIII de su Reglamento, señala que con la presentación del aviso de cancelación en el RFC por fusión de sociedades, se tendrá por cumplido lo previsto en el citado artículo 14-B.</w:t>
      </w:r>
    </w:p>
    <w:p w14:paraId="627A83C9" w14:textId="77777777" w:rsidR="0098530D" w:rsidRPr="00AB7CA1" w:rsidRDefault="0098530D" w:rsidP="0098530D">
      <w:pPr>
        <w:pStyle w:val="Texto"/>
        <w:spacing w:line="232" w:lineRule="exact"/>
        <w:ind w:left="2736" w:hanging="1152"/>
      </w:pPr>
      <w:r w:rsidRPr="00AB7CA1">
        <w:tab/>
        <w:t>En consecuencia, para efectos de la presentación del aviso de cancelación en el RFC por fusión de sociedades, se considera que la fusión de las personas morales se lleva a cabo en la fecha en que se toma el acuerdo respectivo o, en su caso, en la fecha que se haya señalado en el acuerdo tomado en la asamblea general ordinaria o extraordinaria de accionistas, por ser esta el órgano supremo de las sociedades mercantiles.</w:t>
      </w:r>
    </w:p>
    <w:p w14:paraId="111E8F90" w14:textId="77777777" w:rsidR="0098530D" w:rsidRPr="00AB7CA1" w:rsidRDefault="0098530D" w:rsidP="0098530D">
      <w:pPr>
        <w:pStyle w:val="Texto"/>
        <w:spacing w:line="232" w:lineRule="exact"/>
        <w:ind w:left="2736" w:hanging="1152"/>
      </w:pPr>
      <w:r w:rsidRPr="00AB7CA1">
        <w:tab/>
        <w:t>Lo anterior, con fundamento en los artículos 11, segundo párrafo del CFF; 178, 182, fracción VII, 200, 222 y 223 de la LGSM y 21, fracción V del Código de Comercio.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614CAA16"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C763D1C" w14:textId="77777777" w:rsidR="0098530D" w:rsidRPr="00AB7CA1" w:rsidRDefault="0098530D" w:rsidP="00552502">
            <w:pPr>
              <w:pStyle w:val="Texto"/>
              <w:spacing w:line="232"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F13450C" w14:textId="77777777" w:rsidR="0098530D" w:rsidRPr="00AB7CA1" w:rsidRDefault="0098530D" w:rsidP="00552502">
            <w:pPr>
              <w:pStyle w:val="Texto"/>
              <w:spacing w:line="232" w:lineRule="exact"/>
              <w:ind w:firstLine="0"/>
              <w:jc w:val="center"/>
              <w:rPr>
                <w:b/>
              </w:rPr>
            </w:pPr>
            <w:r w:rsidRPr="00AB7CA1">
              <w:rPr>
                <w:b/>
              </w:rPr>
              <w:t>Primer antecedente</w:t>
            </w:r>
          </w:p>
        </w:tc>
      </w:tr>
      <w:tr w:rsidR="0098530D" w:rsidRPr="00AB7CA1" w14:paraId="4DAAD41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5525E7D5" w14:textId="77777777" w:rsidR="0098530D" w:rsidRPr="00AB7CA1" w:rsidRDefault="0098530D" w:rsidP="00552502">
            <w:pPr>
              <w:pStyle w:val="Texto"/>
              <w:spacing w:line="232" w:lineRule="exact"/>
              <w:ind w:firstLine="0"/>
            </w:pPr>
            <w:r w:rsidRPr="00AB7CA1">
              <w:t>57/2002/CFF</w:t>
            </w:r>
          </w:p>
        </w:tc>
        <w:tc>
          <w:tcPr>
            <w:tcW w:w="3237" w:type="pct"/>
            <w:tcBorders>
              <w:top w:val="single" w:sz="6" w:space="0" w:color="auto"/>
              <w:left w:val="single" w:sz="6" w:space="0" w:color="auto"/>
              <w:bottom w:val="single" w:sz="6" w:space="0" w:color="auto"/>
              <w:right w:val="single" w:sz="6" w:space="0" w:color="auto"/>
            </w:tcBorders>
          </w:tcPr>
          <w:p w14:paraId="2A3BA80D" w14:textId="77777777" w:rsidR="0098530D" w:rsidRPr="00AB7CA1" w:rsidRDefault="0098530D" w:rsidP="00552502">
            <w:pPr>
              <w:pStyle w:val="Texto"/>
              <w:spacing w:line="232" w:lineRule="exact"/>
              <w:ind w:firstLine="0"/>
            </w:pPr>
            <w:r w:rsidRPr="00AB7CA1">
              <w:t>Oficio 325-SAT-IV-B-75015 de 16 de diciembre de 2002.</w:t>
            </w:r>
          </w:p>
        </w:tc>
      </w:tr>
    </w:tbl>
    <w:p w14:paraId="2D982AC3" w14:textId="77777777" w:rsidR="0098530D" w:rsidRPr="00AB7CA1" w:rsidRDefault="0098530D" w:rsidP="0098530D">
      <w:pPr>
        <w:pStyle w:val="Texto"/>
        <w:spacing w:line="224" w:lineRule="exact"/>
        <w:ind w:left="2736" w:hanging="1152"/>
        <w:rPr>
          <w:b/>
        </w:rPr>
      </w:pPr>
      <w:r w:rsidRPr="00AB7CA1">
        <w:rPr>
          <w:b/>
        </w:rPr>
        <w:t>5/CFF/N</w:t>
      </w:r>
      <w:r w:rsidRPr="00AB7CA1">
        <w:rPr>
          <w:b/>
        </w:rPr>
        <w:tab/>
        <w:t>Regalías por el uso o goce temporal de derechos de autor sobre obras literarias, artísticas o científicas. Los pagos que se realicen en virtud de cualquier acto jurídico que tenga por objeto la distribución de una obra tienen dicho carácter.</w:t>
      </w:r>
    </w:p>
    <w:p w14:paraId="41AD4698" w14:textId="77777777" w:rsidR="0098530D" w:rsidRPr="00AB7CA1" w:rsidRDefault="0098530D" w:rsidP="0098530D">
      <w:pPr>
        <w:pStyle w:val="Texto"/>
        <w:spacing w:line="224" w:lineRule="exact"/>
        <w:ind w:left="2736" w:hanging="1152"/>
      </w:pPr>
      <w:r w:rsidRPr="00AB7CA1">
        <w:rPr>
          <w:b/>
        </w:rPr>
        <w:tab/>
      </w:r>
      <w:r w:rsidRPr="00AB7CA1">
        <w:t>El artículo 15-B, primer párrafo del CFF establece que se consideran regalías, entre otros, los pagos de cualquier clase por el uso o goce temporal de derechos de autor sobre obras literarias, artísticas o científicas.</w:t>
      </w:r>
    </w:p>
    <w:p w14:paraId="2F7A0133" w14:textId="77777777" w:rsidR="0098530D" w:rsidRPr="00AB7CA1" w:rsidRDefault="0098530D" w:rsidP="0098530D">
      <w:pPr>
        <w:pStyle w:val="Texto"/>
        <w:spacing w:line="224" w:lineRule="exact"/>
        <w:ind w:left="2736" w:hanging="1152"/>
      </w:pPr>
      <w:r w:rsidRPr="00AB7CA1">
        <w:tab/>
        <w:t>El artículo 5o., segundo párrafo del CFF permite aplicar supletoriamente las disposiciones del derecho federal común, en ese sentido, los conceptos a que se refiere el párrafo anterior pueden ser interpretados de conformidad con la Ley Federal del Derecho de Autor.</w:t>
      </w:r>
    </w:p>
    <w:p w14:paraId="768CBC0B" w14:textId="77777777" w:rsidR="0098530D" w:rsidRPr="00AB7CA1" w:rsidRDefault="0098530D" w:rsidP="0098530D">
      <w:pPr>
        <w:pStyle w:val="Texto"/>
        <w:spacing w:line="224" w:lineRule="exact"/>
        <w:ind w:left="2736" w:hanging="1152"/>
      </w:pPr>
      <w:r w:rsidRPr="00AB7CA1">
        <w:tab/>
        <w:t>Del artículo 27 de la ley citada, se desprenden los supuestos a través de los cuales, los titulares de los derechos de autor pueden explotar sus derechos patrimoniales sobre una obra, dentro de los cuales queda comprendida la facultad de conceder a un tercero el uso o goce temporal de los derechos en comento.</w:t>
      </w:r>
    </w:p>
    <w:p w14:paraId="1016ECE2" w14:textId="77777777" w:rsidR="0098530D" w:rsidRPr="00AB7CA1" w:rsidRDefault="0098530D" w:rsidP="0098530D">
      <w:pPr>
        <w:pStyle w:val="Texto"/>
        <w:spacing w:line="224" w:lineRule="exact"/>
        <w:ind w:left="2736" w:hanging="1152"/>
      </w:pPr>
      <w:r w:rsidRPr="00AB7CA1">
        <w:tab/>
        <w:t xml:space="preserve">La fracción IV del último artículo referido establece, como una de las modalidades a través de las cuales se puede conceder el uso o goce temporal de los derechos de autor a un tercero, a la distribución de la obra, incluyendo la venta u otras formas de transmisión de la propiedad de los soportes materiales que la contengan, así como cualquier forma de transmisión de uso o explotación. Asimismo, la fracción señalada dispone que cuando la distribución se lleve a cabo mediante venta, ese derecho de oposición se </w:t>
      </w:r>
      <w:r w:rsidRPr="00AB7CA1">
        <w:lastRenderedPageBreak/>
        <w:t>entenderá agotado efectuada la primera venta, salvo en el caso expresamente contemplado en el artículo 104 de la ley citada.</w:t>
      </w:r>
    </w:p>
    <w:p w14:paraId="5A8A4961" w14:textId="77777777" w:rsidR="0098530D" w:rsidRPr="00AB7CA1" w:rsidRDefault="0098530D" w:rsidP="0098530D">
      <w:pPr>
        <w:pStyle w:val="Texto"/>
        <w:spacing w:line="224" w:lineRule="exact"/>
        <w:ind w:left="2736" w:hanging="1152"/>
      </w:pPr>
      <w:r w:rsidRPr="00AB7CA1">
        <w:tab/>
        <w:t>En ese sentido, los pagos que se realicen en virtud de cualquier acto jurídico que tenga por objeto la distribución de una obra a que se refiere el artículo 27, fracción IV de la Ley Federal del Derecho de Autor, tienen el carácter de regalías de conformidad con el artículo 15-B, primer párrafo del CFF.</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4FC6D42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062DFFAF" w14:textId="77777777" w:rsidR="0098530D" w:rsidRPr="00AB7CA1" w:rsidRDefault="0098530D" w:rsidP="00552502">
            <w:pPr>
              <w:pStyle w:val="Texto"/>
              <w:spacing w:line="224"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DB69034" w14:textId="77777777" w:rsidR="0098530D" w:rsidRPr="00AB7CA1" w:rsidRDefault="0098530D" w:rsidP="00552502">
            <w:pPr>
              <w:pStyle w:val="Texto"/>
              <w:spacing w:line="224" w:lineRule="exact"/>
              <w:ind w:firstLine="0"/>
              <w:jc w:val="center"/>
              <w:rPr>
                <w:b/>
              </w:rPr>
            </w:pPr>
            <w:r w:rsidRPr="00AB7CA1">
              <w:rPr>
                <w:b/>
              </w:rPr>
              <w:t>Primer antecedente</w:t>
            </w:r>
          </w:p>
        </w:tc>
      </w:tr>
      <w:tr w:rsidR="0098530D" w:rsidRPr="00AB7CA1" w14:paraId="33B6D30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9C513DD" w14:textId="77777777" w:rsidR="0098530D" w:rsidRPr="00AB7CA1" w:rsidRDefault="0098530D" w:rsidP="00552502">
            <w:pPr>
              <w:pStyle w:val="Texto"/>
              <w:spacing w:line="224" w:lineRule="exact"/>
              <w:ind w:firstLine="0"/>
            </w:pPr>
            <w:r w:rsidRPr="00AB7CA1">
              <w:t>2012</w:t>
            </w:r>
          </w:p>
        </w:tc>
        <w:tc>
          <w:tcPr>
            <w:tcW w:w="3237" w:type="pct"/>
            <w:tcBorders>
              <w:top w:val="single" w:sz="6" w:space="0" w:color="auto"/>
              <w:left w:val="single" w:sz="6" w:space="0" w:color="auto"/>
              <w:bottom w:val="single" w:sz="6" w:space="0" w:color="auto"/>
              <w:right w:val="single" w:sz="6" w:space="0" w:color="auto"/>
            </w:tcBorders>
          </w:tcPr>
          <w:p w14:paraId="3897D443" w14:textId="77777777" w:rsidR="0098530D" w:rsidRPr="00AB7CA1" w:rsidRDefault="0098530D" w:rsidP="00552502">
            <w:pPr>
              <w:pStyle w:val="Texto"/>
              <w:spacing w:line="224" w:lineRule="exact"/>
              <w:ind w:firstLine="0"/>
            </w:pPr>
            <w:r w:rsidRPr="00AB7CA1">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4/2012/CFF.</w:t>
            </w:r>
          </w:p>
        </w:tc>
      </w:tr>
    </w:tbl>
    <w:p w14:paraId="07CB62DB" w14:textId="77777777" w:rsidR="0098530D" w:rsidRPr="00AB7CA1" w:rsidRDefault="0098530D" w:rsidP="0098530D">
      <w:pPr>
        <w:pStyle w:val="Texto"/>
        <w:spacing w:line="224" w:lineRule="exact"/>
        <w:rPr>
          <w:b/>
        </w:rPr>
      </w:pPr>
    </w:p>
    <w:p w14:paraId="209C29D4" w14:textId="77777777" w:rsidR="0098530D" w:rsidRPr="00AB7CA1" w:rsidRDefault="0098530D" w:rsidP="0098530D">
      <w:pPr>
        <w:pStyle w:val="Texto"/>
        <w:spacing w:line="224" w:lineRule="exact"/>
        <w:ind w:left="2736" w:hanging="1152"/>
        <w:rPr>
          <w:b/>
        </w:rPr>
      </w:pPr>
      <w:r w:rsidRPr="00AB7CA1">
        <w:rPr>
          <w:b/>
        </w:rPr>
        <w:t>6/CFF/N</w:t>
      </w:r>
      <w:r w:rsidRPr="00AB7CA1">
        <w:rPr>
          <w:b/>
        </w:rPr>
        <w:tab/>
        <w:t>Pesca deportiva. Los servicios turísticos que prestan las embarcaciones se consideran actividades comerciales.</w:t>
      </w:r>
    </w:p>
    <w:p w14:paraId="21FD5B52" w14:textId="77777777" w:rsidR="0098530D" w:rsidRPr="00AB7CA1" w:rsidRDefault="0098530D" w:rsidP="0098530D">
      <w:pPr>
        <w:pStyle w:val="Texto"/>
        <w:spacing w:line="224" w:lineRule="exact"/>
        <w:ind w:left="2736" w:hanging="1152"/>
      </w:pPr>
      <w:r w:rsidRPr="00AB7CA1">
        <w:rPr>
          <w:b/>
        </w:rPr>
        <w:tab/>
      </w:r>
      <w:r w:rsidRPr="00AB7CA1">
        <w:t>El artículo 16, fracción I del CFF establece que son actividades comerciales, las que de conformidad con las leyes federales tienen ese carácter y no estén comprendidas en las fracciones siguientes del mismo artículo.</w:t>
      </w:r>
    </w:p>
    <w:p w14:paraId="0FA52033" w14:textId="77777777" w:rsidR="0098530D" w:rsidRPr="00AB7CA1" w:rsidRDefault="0098530D" w:rsidP="0098530D">
      <w:pPr>
        <w:pStyle w:val="Texto"/>
        <w:spacing w:line="224" w:lineRule="exact"/>
        <w:ind w:left="2736" w:hanging="1152"/>
      </w:pPr>
      <w:r w:rsidRPr="00AB7CA1">
        <w:tab/>
        <w:t>El artículo 75, fracciones VIII y XV del Código de Comercio dispone que son actos de comercio las actividades de transporte de personas o cosas, por tierra o por agua, las empresas de turismo y los contratos relativos al comercio marítimo y a la navegación interior y exterior.</w:t>
      </w:r>
    </w:p>
    <w:p w14:paraId="4CD0FBF9" w14:textId="77777777" w:rsidR="0098530D" w:rsidRPr="00AB7CA1" w:rsidRDefault="0098530D" w:rsidP="0098530D">
      <w:pPr>
        <w:pStyle w:val="Texto"/>
        <w:spacing w:line="224" w:lineRule="exact"/>
        <w:ind w:left="2736" w:hanging="1152"/>
      </w:pPr>
      <w:r w:rsidRPr="00AB7CA1">
        <w:tab/>
        <w:t>El artículo 2, fracción III de la Ley de Navegación y Comercio Marítimos establece que comercio marítimo son las actividades que se realizan mediante la explotación comercial y marítima de embarcaciones con objeto de transportar por agua personas, mercancías o cosas, o para realizar en el medio acuático actividades de exploración, explotación o captura de recursos naturales, construcción o recreación.</w:t>
      </w:r>
    </w:p>
    <w:p w14:paraId="085F692F" w14:textId="77777777" w:rsidR="0098530D" w:rsidRPr="00AB7CA1" w:rsidRDefault="0098530D" w:rsidP="0098530D">
      <w:pPr>
        <w:pStyle w:val="Texto"/>
        <w:spacing w:line="220" w:lineRule="exact"/>
        <w:ind w:left="2736" w:hanging="1152"/>
      </w:pPr>
      <w:r w:rsidRPr="00AB7CA1">
        <w:tab/>
        <w:t>En tal virtud, los servicios prestados a los turistas consistentes en la facilitación de elementos para realizar actividades de recreación en el medio acuático relacionados con la pesca deportiva, son una actividad comercial, ya que las empresas de turismo, al celebrar los contratos relativos al comercio marítimo y al prestar servicios para realizar las actividades de recreación en el medio acuático, se consideran actos de comercio de conformidad con las leyes antes citadas.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62A3C512"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4F52EEDD" w14:textId="77777777" w:rsidR="0098530D" w:rsidRPr="00AB7CA1" w:rsidRDefault="0098530D" w:rsidP="00552502">
            <w:pPr>
              <w:pStyle w:val="Texto"/>
              <w:spacing w:line="220"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BA2765E" w14:textId="77777777" w:rsidR="0098530D" w:rsidRPr="00AB7CA1" w:rsidRDefault="0098530D" w:rsidP="00552502">
            <w:pPr>
              <w:pStyle w:val="Texto"/>
              <w:spacing w:line="220" w:lineRule="exact"/>
              <w:ind w:firstLine="0"/>
              <w:jc w:val="center"/>
              <w:rPr>
                <w:b/>
              </w:rPr>
            </w:pPr>
            <w:r w:rsidRPr="00AB7CA1">
              <w:rPr>
                <w:b/>
              </w:rPr>
              <w:t>Primer antecedente</w:t>
            </w:r>
          </w:p>
        </w:tc>
      </w:tr>
      <w:tr w:rsidR="0098530D" w:rsidRPr="00AB7CA1" w14:paraId="575BA16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FCC23F9" w14:textId="77777777" w:rsidR="0098530D" w:rsidRPr="00AB7CA1" w:rsidRDefault="0098530D" w:rsidP="00552502">
            <w:pPr>
              <w:pStyle w:val="Texto"/>
              <w:spacing w:line="220" w:lineRule="exact"/>
              <w:ind w:firstLine="0"/>
            </w:pPr>
            <w:r w:rsidRPr="00AB7CA1">
              <w:t>5/2002/CFF</w:t>
            </w:r>
          </w:p>
        </w:tc>
        <w:tc>
          <w:tcPr>
            <w:tcW w:w="3237" w:type="pct"/>
            <w:tcBorders>
              <w:top w:val="single" w:sz="6" w:space="0" w:color="auto"/>
              <w:left w:val="single" w:sz="6" w:space="0" w:color="auto"/>
              <w:bottom w:val="single" w:sz="6" w:space="0" w:color="auto"/>
              <w:right w:val="single" w:sz="6" w:space="0" w:color="auto"/>
            </w:tcBorders>
          </w:tcPr>
          <w:p w14:paraId="158CD888" w14:textId="77777777" w:rsidR="0098530D" w:rsidRPr="00AB7CA1" w:rsidRDefault="0098530D" w:rsidP="00552502">
            <w:pPr>
              <w:pStyle w:val="Texto"/>
              <w:spacing w:line="220" w:lineRule="exact"/>
              <w:ind w:firstLine="0"/>
            </w:pPr>
            <w:r w:rsidRPr="00AB7CA1">
              <w:t>Oficio 325-SAT-A-31676 de 24 de mayo de 2002.</w:t>
            </w:r>
          </w:p>
        </w:tc>
      </w:tr>
    </w:tbl>
    <w:p w14:paraId="714C2856" w14:textId="77777777" w:rsidR="0098530D" w:rsidRPr="00AB7CA1" w:rsidRDefault="0098530D" w:rsidP="0098530D">
      <w:pPr>
        <w:pStyle w:val="Texto"/>
        <w:spacing w:line="220" w:lineRule="exact"/>
        <w:rPr>
          <w:b/>
        </w:rPr>
      </w:pPr>
    </w:p>
    <w:p w14:paraId="11B45A5D" w14:textId="77777777" w:rsidR="0098530D" w:rsidRPr="00AB7CA1" w:rsidRDefault="0098530D" w:rsidP="0098530D">
      <w:pPr>
        <w:pStyle w:val="Texto"/>
        <w:spacing w:line="220" w:lineRule="exact"/>
        <w:ind w:left="2736" w:hanging="1152"/>
        <w:rPr>
          <w:b/>
        </w:rPr>
      </w:pPr>
      <w:r w:rsidRPr="00AB7CA1">
        <w:rPr>
          <w:b/>
        </w:rPr>
        <w:t>7/CFF/N</w:t>
      </w:r>
      <w:r w:rsidRPr="00AB7CA1">
        <w:rPr>
          <w:b/>
        </w:rPr>
        <w:tab/>
        <w:t>Aplicación de las cantidades pagadas en devoluciones en cantidades menores a la cantidad solicitada.</w:t>
      </w:r>
    </w:p>
    <w:p w14:paraId="4EFB63A6" w14:textId="77777777" w:rsidR="0098530D" w:rsidRPr="00AB7CA1" w:rsidRDefault="0098530D" w:rsidP="0098530D">
      <w:pPr>
        <w:pStyle w:val="Texto"/>
        <w:spacing w:line="220" w:lineRule="exact"/>
        <w:ind w:left="2736" w:hanging="1152"/>
      </w:pPr>
      <w:r w:rsidRPr="00AB7CA1">
        <w:rPr>
          <w:b/>
        </w:rPr>
        <w:tab/>
      </w:r>
      <w:r w:rsidRPr="00AB7CA1">
        <w:t>El artículo 22-A del CFF señala que el monto de la devolución se aplicará primero a intereses y, posteriormente, a las cantidades pagadas indebidamente, en tal virtud, dicho señalamiento debe entenderse que se refiere a los intereses que se hubieran generado hasta el momento en que se realice el pago de la devolución y no a intereses futuros.</w:t>
      </w:r>
    </w:p>
    <w:p w14:paraId="1D2AA42F" w14:textId="77777777" w:rsidR="0098530D" w:rsidRPr="00AB7CA1" w:rsidRDefault="0098530D" w:rsidP="0098530D">
      <w:pPr>
        <w:pStyle w:val="Texto"/>
        <w:spacing w:line="220" w:lineRule="exact"/>
        <w:ind w:left="2736" w:hanging="1152"/>
      </w:pPr>
      <w:r w:rsidRPr="00AB7CA1">
        <w:tab/>
        <w:t xml:space="preserve">Así, en el supuesto de que las autoridades fiscales realicen una devolución en cantidad menor a la solicitada, la parte devuelta se aplicará en primer lugar a los intereses vencidos que se hubieran generado, en su caso, hasta la fecha </w:t>
      </w:r>
      <w:r w:rsidRPr="00AB7CA1">
        <w:lastRenderedPageBreak/>
        <w:t>en que se realizó el pago fraccionado y posteriormente se aplicará contra el principal.</w:t>
      </w:r>
    </w:p>
    <w:p w14:paraId="07E9607E" w14:textId="77777777" w:rsidR="0098530D" w:rsidRPr="00AB7CA1" w:rsidRDefault="0098530D" w:rsidP="0098530D">
      <w:pPr>
        <w:pStyle w:val="Texto"/>
        <w:spacing w:line="220" w:lineRule="exact"/>
        <w:ind w:left="2736" w:hanging="1152"/>
      </w:pPr>
      <w:r w:rsidRPr="00AB7CA1">
        <w:tab/>
        <w:t>En ningún caso procederá la aplicación del monto de la devolución realizada en cantidad menor a la solicitada contra los intereses que se generen con posterioridad al pago, correspondientes a la parte omitida en dicha devolución.</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51E3461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1F2764D8" w14:textId="77777777" w:rsidR="0098530D" w:rsidRPr="00AB7CA1" w:rsidRDefault="0098530D" w:rsidP="00552502">
            <w:pPr>
              <w:pStyle w:val="Texto"/>
              <w:spacing w:line="220"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4554663F" w14:textId="77777777" w:rsidR="0098530D" w:rsidRPr="00AB7CA1" w:rsidRDefault="0098530D" w:rsidP="00552502">
            <w:pPr>
              <w:pStyle w:val="Texto"/>
              <w:spacing w:line="220" w:lineRule="exact"/>
              <w:ind w:firstLine="0"/>
              <w:jc w:val="center"/>
              <w:rPr>
                <w:b/>
              </w:rPr>
            </w:pPr>
            <w:r w:rsidRPr="00AB7CA1">
              <w:rPr>
                <w:b/>
              </w:rPr>
              <w:t>Primer antecedente</w:t>
            </w:r>
          </w:p>
        </w:tc>
      </w:tr>
      <w:tr w:rsidR="0098530D" w:rsidRPr="00AB7CA1" w14:paraId="310344B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703E972" w14:textId="77777777" w:rsidR="0098530D" w:rsidRPr="00AB7CA1" w:rsidRDefault="0098530D" w:rsidP="00552502">
            <w:pPr>
              <w:pStyle w:val="Texto"/>
              <w:spacing w:line="220" w:lineRule="exact"/>
              <w:ind w:firstLine="0"/>
            </w:pPr>
            <w:r w:rsidRPr="00AB7CA1">
              <w:t>50/2003/CFF</w:t>
            </w:r>
          </w:p>
        </w:tc>
        <w:tc>
          <w:tcPr>
            <w:tcW w:w="3237" w:type="pct"/>
            <w:tcBorders>
              <w:top w:val="single" w:sz="6" w:space="0" w:color="auto"/>
              <w:left w:val="single" w:sz="6" w:space="0" w:color="auto"/>
              <w:bottom w:val="single" w:sz="6" w:space="0" w:color="auto"/>
              <w:right w:val="single" w:sz="6" w:space="0" w:color="auto"/>
            </w:tcBorders>
          </w:tcPr>
          <w:p w14:paraId="0C1F8A24" w14:textId="77777777" w:rsidR="0098530D" w:rsidRPr="00AB7CA1" w:rsidRDefault="0098530D" w:rsidP="00552502">
            <w:pPr>
              <w:pStyle w:val="Texto"/>
              <w:spacing w:line="220" w:lineRule="exact"/>
              <w:ind w:firstLine="0"/>
            </w:pPr>
            <w:r w:rsidRPr="00AB7CA1">
              <w:t>Oficio 325-SAT-IV-F-84632 de 28 de noviembre de 2003, mediante el cual se emite la Compilación de Criterios Normativos. Se dan a conocer criterios.</w:t>
            </w:r>
          </w:p>
        </w:tc>
      </w:tr>
    </w:tbl>
    <w:p w14:paraId="657119AB" w14:textId="77777777" w:rsidR="0098530D" w:rsidRPr="00AB7CA1" w:rsidRDefault="0098530D" w:rsidP="0098530D">
      <w:pPr>
        <w:pStyle w:val="Texto"/>
        <w:spacing w:line="220" w:lineRule="exact"/>
        <w:rPr>
          <w:b/>
        </w:rPr>
      </w:pPr>
    </w:p>
    <w:p w14:paraId="3EF29D7F" w14:textId="77777777" w:rsidR="0098530D" w:rsidRPr="00AB7CA1" w:rsidRDefault="0098530D" w:rsidP="0098530D">
      <w:pPr>
        <w:pStyle w:val="Texto"/>
        <w:spacing w:line="220" w:lineRule="exact"/>
        <w:ind w:left="2736" w:hanging="1152"/>
        <w:rPr>
          <w:b/>
        </w:rPr>
      </w:pPr>
      <w:r w:rsidRPr="00AB7CA1">
        <w:rPr>
          <w:b/>
        </w:rPr>
        <w:t>8/CFF/N</w:t>
      </w:r>
      <w:r w:rsidRPr="00AB7CA1">
        <w:rPr>
          <w:b/>
        </w:rPr>
        <w:tab/>
        <w:t>Medidas de apremio. Es necesario agotarlas en estricto orden, antes de proceder penalmente por los delitos de desobediencia o resistencia a un mandato de autoridad.</w:t>
      </w:r>
    </w:p>
    <w:p w14:paraId="7C90EBF2" w14:textId="77777777" w:rsidR="0098530D" w:rsidRPr="00AB7CA1" w:rsidRDefault="0098530D" w:rsidP="0098530D">
      <w:pPr>
        <w:pStyle w:val="Texto"/>
        <w:spacing w:line="220" w:lineRule="exact"/>
        <w:ind w:left="2736" w:hanging="1152"/>
      </w:pPr>
      <w:r w:rsidRPr="00AB7CA1">
        <w:tab/>
        <w:t>El artículo 40 del CFF señala que cuando los contribuyentes, los responsables solidarios o terceros con ellos relacionados, impidan de cualquier forma o por cualquier medio el inicio o desarrollo del ejercicio de las facultades de las autoridades fiscales, estas podrán aplicar como medidas de apremio, las señaladas en dicho artículo, estrictamente en el orden siguiente:</w:t>
      </w:r>
    </w:p>
    <w:p w14:paraId="5EB8A8CF" w14:textId="77777777" w:rsidR="0098530D" w:rsidRPr="00AB7CA1" w:rsidRDefault="0098530D" w:rsidP="0098530D">
      <w:pPr>
        <w:pStyle w:val="Texto"/>
        <w:spacing w:line="220" w:lineRule="exact"/>
        <w:ind w:left="3312" w:hanging="576"/>
      </w:pPr>
      <w:r w:rsidRPr="00AB7CA1">
        <w:rPr>
          <w:b/>
        </w:rPr>
        <w:t>I.</w:t>
      </w:r>
      <w:r w:rsidRPr="00AB7CA1">
        <w:rPr>
          <w:b/>
        </w:rPr>
        <w:tab/>
      </w:r>
      <w:r w:rsidRPr="00AB7CA1">
        <w:t>Solicitar el auxilio de la fuerza pública;</w:t>
      </w:r>
    </w:p>
    <w:p w14:paraId="6D30FDD0" w14:textId="77777777" w:rsidR="0098530D" w:rsidRPr="00AB7CA1" w:rsidRDefault="0098530D" w:rsidP="0098530D">
      <w:pPr>
        <w:pStyle w:val="Texto"/>
        <w:spacing w:line="220" w:lineRule="exact"/>
        <w:ind w:left="3312" w:hanging="576"/>
      </w:pPr>
      <w:r w:rsidRPr="00AB7CA1">
        <w:rPr>
          <w:b/>
        </w:rPr>
        <w:t>II.</w:t>
      </w:r>
      <w:r w:rsidRPr="00AB7CA1">
        <w:rPr>
          <w:b/>
        </w:rPr>
        <w:tab/>
      </w:r>
      <w:r w:rsidRPr="00AB7CA1">
        <w:t>Imponer la multa que corresponda en los términos del Código;</w:t>
      </w:r>
    </w:p>
    <w:p w14:paraId="0B8614FE" w14:textId="77777777" w:rsidR="0098530D" w:rsidRPr="00AB7CA1" w:rsidRDefault="0098530D" w:rsidP="0098530D">
      <w:pPr>
        <w:pStyle w:val="Texto"/>
        <w:spacing w:line="220" w:lineRule="exact"/>
        <w:ind w:left="3312" w:hanging="576"/>
      </w:pPr>
      <w:r w:rsidRPr="00AB7CA1">
        <w:rPr>
          <w:b/>
        </w:rPr>
        <w:t>III.</w:t>
      </w:r>
      <w:r w:rsidRPr="00AB7CA1">
        <w:rPr>
          <w:b/>
        </w:rPr>
        <w:tab/>
      </w:r>
      <w:r w:rsidRPr="00AB7CA1">
        <w:t>Practicar el aseguramiento precautorio de los bienes o de la negociación del contribuyente o responsable solidario, respecto de los actos, solicitudes de información o requerimientos de documentación dirigidos a estos, conforme a lo establecido en el artículo 40-A del CFF.</w:t>
      </w:r>
    </w:p>
    <w:p w14:paraId="31E014A3" w14:textId="77777777" w:rsidR="0098530D" w:rsidRPr="00AB7CA1" w:rsidRDefault="0098530D" w:rsidP="0098530D">
      <w:pPr>
        <w:pStyle w:val="Texto"/>
        <w:spacing w:line="220" w:lineRule="exact"/>
        <w:ind w:left="3312" w:hanging="576"/>
      </w:pPr>
      <w:r w:rsidRPr="00AB7CA1">
        <w:rPr>
          <w:b/>
        </w:rPr>
        <w:t>IV.</w:t>
      </w:r>
      <w:r w:rsidRPr="00AB7CA1">
        <w:rPr>
          <w:b/>
        </w:rPr>
        <w:tab/>
      </w:r>
      <w:r w:rsidRPr="00AB7CA1">
        <w:t>Solicitar a la autoridad competente se proceda por desobediencia o resistencia por parte del contribuyente, responsable solidario o tercero relacionado con ellos, a un mandato legítimo de autoridad competente.</w:t>
      </w:r>
    </w:p>
    <w:p w14:paraId="7C848C2D" w14:textId="77777777" w:rsidR="0098530D" w:rsidRPr="00AB7CA1" w:rsidRDefault="0098530D" w:rsidP="0098530D">
      <w:pPr>
        <w:pStyle w:val="Texto"/>
        <w:spacing w:after="80"/>
        <w:ind w:left="2736" w:hanging="1152"/>
      </w:pPr>
      <w:r w:rsidRPr="00AB7CA1">
        <w:tab/>
        <w:t>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w:t>
      </w:r>
    </w:p>
    <w:p w14:paraId="040287D2" w14:textId="77777777" w:rsidR="0098530D" w:rsidRPr="00AB7CA1" w:rsidRDefault="0098530D" w:rsidP="0098530D">
      <w:pPr>
        <w:pStyle w:val="Texto"/>
        <w:spacing w:after="80"/>
        <w:ind w:left="2736" w:hanging="1152"/>
      </w:pPr>
      <w:r w:rsidRPr="00AB7CA1">
        <w:tab/>
        <w:t>La autoridad fiscal podrá proceder penalmente por el delito de desobediencia o resistencia, previsto en el artículo 178 del Código Penal Federal, cuando se hubieren agotado las medidas de apremio a que se refiere el artículo 183 del citado Código Penal Federal.</w:t>
      </w:r>
    </w:p>
    <w:p w14:paraId="7021454C" w14:textId="77777777" w:rsidR="0098530D" w:rsidRPr="00AB7CA1" w:rsidRDefault="0098530D" w:rsidP="0098530D">
      <w:pPr>
        <w:pStyle w:val="Texto"/>
        <w:spacing w:after="80"/>
        <w:ind w:left="2736" w:hanging="1152"/>
      </w:pPr>
      <w:r w:rsidRPr="00AB7CA1">
        <w:tab/>
        <w:t>En este sentido, si el CFF prevé medidas de apremio para sancionar la desobediencia o resistencia a un mandato de autoridad fiscal, es requisito para proceder penalmente, que previamente se hayan agotado los medios de apremio que establece el artículo 40, fracciones I, II y III del CFF.</w:t>
      </w:r>
    </w:p>
    <w:p w14:paraId="476C75C9" w14:textId="77777777" w:rsidR="0098530D" w:rsidRPr="00AB7CA1" w:rsidRDefault="0098530D" w:rsidP="0098530D">
      <w:pPr>
        <w:pStyle w:val="Texto"/>
        <w:spacing w:after="80"/>
        <w:ind w:left="2736" w:hanging="1152"/>
      </w:pPr>
      <w:r w:rsidRPr="00AB7CA1">
        <w:tab/>
        <w:t>Para el delito de resistencia previsto en el artículo 180 del Código Penal Federal, no es necesario agotar previamente las medidas de apremio contenidas en el artículo 40 del CFF, en virtud de que el tipo penal no exige tal situación, por lo cual se podrá proceder penalmente por este delito, en cualquier momento en el que se advierta durante el ejercicio de las facultades de comprobación, la resistencia del particular al cumplimiento de un mandato legítimo ejecutado en forma legal.</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8DE164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6EF7F8E" w14:textId="77777777" w:rsidR="0098530D" w:rsidRPr="00AB7CA1" w:rsidRDefault="0098530D" w:rsidP="00552502">
            <w:pPr>
              <w:pStyle w:val="Texto"/>
              <w:spacing w:after="80"/>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4CFD34C4" w14:textId="77777777" w:rsidR="0098530D" w:rsidRPr="00AB7CA1" w:rsidRDefault="0098530D" w:rsidP="00552502">
            <w:pPr>
              <w:pStyle w:val="Texto"/>
              <w:spacing w:after="80"/>
              <w:ind w:firstLine="0"/>
              <w:jc w:val="center"/>
              <w:rPr>
                <w:b/>
              </w:rPr>
            </w:pPr>
            <w:r w:rsidRPr="00AB7CA1">
              <w:rPr>
                <w:b/>
              </w:rPr>
              <w:t>Primer antecedente</w:t>
            </w:r>
          </w:p>
        </w:tc>
      </w:tr>
      <w:tr w:rsidR="0098530D" w:rsidRPr="00AB7CA1" w14:paraId="747132A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B0A4C4E" w14:textId="77777777" w:rsidR="0098530D" w:rsidRPr="00AB7CA1" w:rsidRDefault="0098530D" w:rsidP="00552502">
            <w:pPr>
              <w:pStyle w:val="Texto"/>
              <w:spacing w:after="80"/>
              <w:ind w:firstLine="0"/>
            </w:pPr>
            <w:r w:rsidRPr="00AB7CA1">
              <w:lastRenderedPageBreak/>
              <w:t>4/2002/CFF</w:t>
            </w:r>
          </w:p>
        </w:tc>
        <w:tc>
          <w:tcPr>
            <w:tcW w:w="3237" w:type="pct"/>
            <w:tcBorders>
              <w:top w:val="single" w:sz="6" w:space="0" w:color="auto"/>
              <w:left w:val="single" w:sz="6" w:space="0" w:color="auto"/>
              <w:bottom w:val="single" w:sz="6" w:space="0" w:color="auto"/>
              <w:right w:val="single" w:sz="6" w:space="0" w:color="auto"/>
            </w:tcBorders>
          </w:tcPr>
          <w:p w14:paraId="051E3F5B" w14:textId="77777777" w:rsidR="0098530D" w:rsidRPr="00AB7CA1" w:rsidRDefault="0098530D" w:rsidP="00552502">
            <w:pPr>
              <w:pStyle w:val="Texto"/>
              <w:spacing w:after="80"/>
              <w:ind w:firstLine="0"/>
            </w:pPr>
            <w:r w:rsidRPr="00AB7CA1">
              <w:t>Oficio 325-SAT-A-31676 de 24 de mayo de 2002.</w:t>
            </w:r>
          </w:p>
        </w:tc>
      </w:tr>
    </w:tbl>
    <w:p w14:paraId="35B09A57" w14:textId="77777777" w:rsidR="0098530D" w:rsidRPr="00AB7CA1" w:rsidRDefault="0098530D" w:rsidP="0098530D">
      <w:pPr>
        <w:pStyle w:val="Texto"/>
        <w:spacing w:after="80"/>
        <w:rPr>
          <w:b/>
        </w:rPr>
      </w:pPr>
    </w:p>
    <w:p w14:paraId="531DD0A6" w14:textId="77777777" w:rsidR="0098530D" w:rsidRPr="00AB7CA1" w:rsidRDefault="0098530D" w:rsidP="0098530D">
      <w:pPr>
        <w:pStyle w:val="Texto"/>
        <w:spacing w:after="80"/>
        <w:ind w:left="2736" w:hanging="1152"/>
        <w:rPr>
          <w:b/>
        </w:rPr>
      </w:pPr>
      <w:r w:rsidRPr="00AB7CA1">
        <w:rPr>
          <w:b/>
        </w:rPr>
        <w:t>9/CFF/N</w:t>
      </w:r>
      <w:r w:rsidRPr="00AB7CA1">
        <w:rPr>
          <w:b/>
        </w:rPr>
        <w:tab/>
        <w:t>Visitas domiciliarias para verificar el cumplimiento de obligaciones fiscales. No se requiere que se levanten actas parciales y acta final.</w:t>
      </w:r>
    </w:p>
    <w:p w14:paraId="39DA505D" w14:textId="77777777" w:rsidR="0098530D" w:rsidRPr="00AB7CA1" w:rsidRDefault="0098530D" w:rsidP="0098530D">
      <w:pPr>
        <w:pStyle w:val="Texto"/>
        <w:spacing w:after="80"/>
        <w:ind w:left="2736" w:hanging="1152"/>
      </w:pPr>
      <w:r w:rsidRPr="00AB7CA1">
        <w:rPr>
          <w:b/>
        </w:rPr>
        <w:tab/>
      </w:r>
      <w:r w:rsidRPr="00AB7CA1">
        <w:t>El artículo 42, fracción V del CFF señala que las autoridades fiscales a fin de comprobar que los contribuyentes, los responsables solidarios o los terceros con ellos relacionados han cumplido con las disposiciones fiscales y aduaneras, estarán facultadas para practicar visitas domiciliarias a los contribuyentes, a fin de verificar el cumplimiento de las obligaciones fiscales en materia de expedición de CFDI y de presentación de solicitudes o avisos en materia del RFC; las relativas a la operación de las máquinas, sistemas y registros electrónicos, que estén obligados a llevar los contribuyentes, se realicen conforme lo establecen las disposiciones fiscales; la consistente en que los envases o recipientes que contengan bebidas alcohólicas cuenten con marbetes o precintos, o en su caso, que los envases que contenían dichas bebidas hayan sido destruidos; la relativa a que las cajetillas de cigarros para su venta en México contengan impreso el código de seguridad o, en su caso, que este sea auténtico; la de contar con la documentación o comprobantes que acrediten la legal propiedad, posesión, estancia, tenencia o importación de las mercancías de procedencia extranjera, debiéndola exhibir a la autoridad durante la visita, y las inherentes y derivadas de autorizaciones, concesiones, padrones, registros o patentes establecidos en la Ley Aduanera, su Reglamento y las RGCE que emita</w:t>
      </w:r>
      <w:r>
        <w:t xml:space="preserve"> </w:t>
      </w:r>
      <w:r w:rsidRPr="00AB7CA1">
        <w:t>el SAT.</w:t>
      </w:r>
    </w:p>
    <w:p w14:paraId="0749D462" w14:textId="77777777" w:rsidR="0098530D" w:rsidRPr="00AB7CA1" w:rsidRDefault="0098530D" w:rsidP="0098530D">
      <w:pPr>
        <w:pStyle w:val="Texto"/>
        <w:spacing w:after="80"/>
        <w:ind w:left="2736" w:hanging="1152"/>
      </w:pPr>
      <w:r w:rsidRPr="00AB7CA1">
        <w:tab/>
        <w:t>El artículo 49, fracción IV del ordenamiento en cita, dispone que en toda visita domiciliaria se levantará acta o actas en la que se harán constar en forma circunstanciada los hechos u omisiones conocidos por los visitadores o, en su caso, las irregularidades detectadas durante la inspección,</w:t>
      </w:r>
      <w:r>
        <w:t xml:space="preserve"> </w:t>
      </w:r>
      <w:r w:rsidRPr="00AB7CA1">
        <w:t>sin hacer mención expresa de que deban levantarse actas parciales y</w:t>
      </w:r>
      <w:r>
        <w:t xml:space="preserve"> </w:t>
      </w:r>
      <w:r w:rsidRPr="00AB7CA1">
        <w:t>acta final.</w:t>
      </w:r>
    </w:p>
    <w:p w14:paraId="366569DA" w14:textId="77777777" w:rsidR="0098530D" w:rsidRPr="00AB7CA1" w:rsidRDefault="0098530D" w:rsidP="0098530D">
      <w:pPr>
        <w:pStyle w:val="Texto"/>
        <w:spacing w:after="80"/>
        <w:ind w:left="2736" w:hanging="1152"/>
      </w:pPr>
      <w:r w:rsidRPr="00AB7CA1">
        <w:tab/>
        <w:t>Por lo anterior, tendrán plena validez las visitas domiciliarias realizadas en términos del artículo 42, fracción V del CFF siempre que se levante un acta o actas circunstanciadas que cumplan con los requisitos del artículo 49 de dicho Código, ya que el citado numeral, no obliga a la autoridad a levantar actas parciales y acta final y, por lo tanto, basta con hacer constar los hechos en un acta o actas.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7E3376A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B9A9726" w14:textId="77777777" w:rsidR="0098530D" w:rsidRPr="00AB7CA1" w:rsidRDefault="0098530D" w:rsidP="00552502">
            <w:pPr>
              <w:pStyle w:val="Texto"/>
              <w:spacing w:line="225"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4A58D89" w14:textId="77777777" w:rsidR="0098530D" w:rsidRPr="00AB7CA1" w:rsidRDefault="0098530D" w:rsidP="00552502">
            <w:pPr>
              <w:pStyle w:val="Texto"/>
              <w:spacing w:line="225" w:lineRule="exact"/>
              <w:ind w:firstLine="0"/>
              <w:jc w:val="center"/>
              <w:rPr>
                <w:b/>
              </w:rPr>
            </w:pPr>
            <w:r w:rsidRPr="00AB7CA1">
              <w:rPr>
                <w:b/>
              </w:rPr>
              <w:t>Primer antecedente</w:t>
            </w:r>
          </w:p>
        </w:tc>
      </w:tr>
      <w:tr w:rsidR="0098530D" w:rsidRPr="00AB7CA1" w14:paraId="2D7C7F10"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75B626C" w14:textId="77777777" w:rsidR="0098530D" w:rsidRPr="00AB7CA1" w:rsidRDefault="0098530D" w:rsidP="00552502">
            <w:pPr>
              <w:pStyle w:val="Texto"/>
              <w:spacing w:line="225" w:lineRule="exact"/>
              <w:ind w:firstLine="0"/>
            </w:pPr>
            <w:r w:rsidRPr="00AB7CA1">
              <w:t>43/2003/CFF</w:t>
            </w:r>
          </w:p>
        </w:tc>
        <w:tc>
          <w:tcPr>
            <w:tcW w:w="3237" w:type="pct"/>
            <w:tcBorders>
              <w:top w:val="single" w:sz="6" w:space="0" w:color="auto"/>
              <w:left w:val="single" w:sz="6" w:space="0" w:color="auto"/>
              <w:bottom w:val="single" w:sz="6" w:space="0" w:color="auto"/>
              <w:right w:val="single" w:sz="6" w:space="0" w:color="auto"/>
            </w:tcBorders>
          </w:tcPr>
          <w:p w14:paraId="27DB91FE" w14:textId="77777777" w:rsidR="0098530D" w:rsidRPr="00AB7CA1" w:rsidRDefault="0098530D" w:rsidP="00552502">
            <w:pPr>
              <w:pStyle w:val="Texto"/>
              <w:spacing w:line="225" w:lineRule="exact"/>
              <w:ind w:firstLine="0"/>
            </w:pPr>
            <w:r w:rsidRPr="00AB7CA1">
              <w:t>Oficio 325-SAT-IV-B-56119 de 15 de octubre de 2003, mediante el cual se emite la Compilación de Criterios Normativos. Se dan a conocer criterios.</w:t>
            </w:r>
          </w:p>
        </w:tc>
      </w:tr>
    </w:tbl>
    <w:p w14:paraId="1C234EB9" w14:textId="77777777" w:rsidR="0098530D" w:rsidRPr="00AB7CA1" w:rsidRDefault="0098530D" w:rsidP="0098530D">
      <w:pPr>
        <w:pStyle w:val="Texto"/>
        <w:spacing w:line="225" w:lineRule="exact"/>
        <w:rPr>
          <w:b/>
        </w:rPr>
      </w:pPr>
    </w:p>
    <w:p w14:paraId="118FD4BE" w14:textId="77777777" w:rsidR="0098530D" w:rsidRPr="00AB7CA1" w:rsidRDefault="0098530D" w:rsidP="0098530D">
      <w:pPr>
        <w:pStyle w:val="Texto"/>
        <w:spacing w:line="225" w:lineRule="exact"/>
        <w:ind w:left="2736" w:hanging="1152"/>
        <w:rPr>
          <w:b/>
        </w:rPr>
      </w:pPr>
      <w:r w:rsidRPr="00AB7CA1">
        <w:rPr>
          <w:b/>
        </w:rPr>
        <w:t>10/CFF/N</w:t>
      </w:r>
      <w:r w:rsidRPr="00AB7CA1">
        <w:rPr>
          <w:b/>
        </w:rPr>
        <w:tab/>
        <w:t>Discrepancia fiscal. El resultado de la comprobación se dará a conocer mediante oficio y, en su caso, en la última acta parcial o complementaria.</w:t>
      </w:r>
    </w:p>
    <w:p w14:paraId="55E14614" w14:textId="77777777" w:rsidR="0098530D" w:rsidRPr="00AB7CA1" w:rsidRDefault="0098530D" w:rsidP="0098530D">
      <w:pPr>
        <w:pStyle w:val="Texto"/>
        <w:spacing w:line="225" w:lineRule="exact"/>
        <w:ind w:left="2736" w:hanging="1152"/>
      </w:pPr>
      <w:r w:rsidRPr="00AB7CA1">
        <w:rPr>
          <w:b/>
        </w:rPr>
        <w:tab/>
      </w:r>
      <w:r w:rsidRPr="00AB7CA1">
        <w:t>De conformidad con los artículos 46, fracción IV y 48, fracción IV del CFF, como resultado del ejercicio de las facultades de comprobación se harán constar los hechos u omisiones que entrañen incumplimiento de las obligaciones fiscales, según sea el caso, en la última acta parcial o en el oficio de observaciones.</w:t>
      </w:r>
    </w:p>
    <w:p w14:paraId="3E4A4AED" w14:textId="77777777" w:rsidR="0098530D" w:rsidRPr="00AB7CA1" w:rsidRDefault="0098530D" w:rsidP="0098530D">
      <w:pPr>
        <w:pStyle w:val="Texto"/>
        <w:spacing w:line="225" w:lineRule="exact"/>
        <w:ind w:left="2736" w:hanging="1152"/>
      </w:pPr>
      <w:r w:rsidRPr="00AB7CA1">
        <w:tab/>
        <w:t xml:space="preserve">El artículo 91, en su primer y séptimo párrafos, fracciones I y II de la Ley del ISR, establece que las personas físicas podrán ser objeto de discrepancia fiscal cuando se compruebe que el monto de las erogaciones en un año de calendario sea superior a los ingresos declarados por el contribuyente, o bien a los que le hubiere correspondido declarar, para lo cual las autoridades </w:t>
      </w:r>
      <w:r w:rsidRPr="00AB7CA1">
        <w:lastRenderedPageBreak/>
        <w:t>fiscales procederán a notificar mediante oficio el monto de las erogaciones detectadas, la información que se utilizó para conocerlas, el medio por el cual se obtuvo y la discrepancia resultante, así como el plazo previsto en la fracción II del precepto legal en mención, para informar por escrito a la autoridad fiscal el origen o fuente de procedencia de los recursos con que efectuó las erogaciones detectadas, y ofrecerá en su caso, las pruebas que estime idóneas para acreditar que los recursos no constituyen ingresos gravados en los términos que establece la propia Ley.</w:t>
      </w:r>
    </w:p>
    <w:p w14:paraId="432941E3" w14:textId="77777777" w:rsidR="0098530D" w:rsidRDefault="0098530D" w:rsidP="0098530D">
      <w:pPr>
        <w:pStyle w:val="Texto"/>
        <w:spacing w:line="225" w:lineRule="exact"/>
        <w:ind w:left="2736" w:hanging="1152"/>
      </w:pPr>
      <w:r w:rsidRPr="00AB7CA1">
        <w:tab/>
        <w:t>Asimismo, en términos de las disposiciones antes citadas, las autoridades fiscales por una sola vez, podrán requerir información y documentación adicional al contribuyente, el cual la deberá proporcionar en el plazo previsto en el artículo 53, inciso c) del CFF.</w:t>
      </w:r>
    </w:p>
    <w:p w14:paraId="20D16880" w14:textId="77777777" w:rsidR="0098530D" w:rsidRDefault="0098530D" w:rsidP="0098530D">
      <w:pPr>
        <w:pStyle w:val="Texto"/>
        <w:spacing w:line="226" w:lineRule="exact"/>
        <w:ind w:left="2736" w:hanging="1152"/>
      </w:pPr>
      <w:r w:rsidRPr="00AB7CA1">
        <w:tab/>
        <w:t>De la interpretación armónica de las disposiciones legales antes señaladas, se desprende que con independencia del oficio que se entregue en los términos del párrafo segundo del presente criterio, cuando las autoridades fiscales hayan detectado las omisiones en una visita domiciliaria, se deberá levantar acta parcial en donde haga constar la entrega de</w:t>
      </w:r>
      <w:r w:rsidRPr="00AB7CA1">
        <w:rPr>
          <w:b/>
        </w:rPr>
        <w:t xml:space="preserve"> </w:t>
      </w:r>
      <w:r w:rsidRPr="00AB7CA1">
        <w:t>dicho documento.</w:t>
      </w:r>
    </w:p>
    <w:p w14:paraId="1CA2B179" w14:textId="77777777" w:rsidR="0098530D" w:rsidRPr="00AB7CA1" w:rsidRDefault="0098530D" w:rsidP="0098530D">
      <w:pPr>
        <w:pStyle w:val="Texto"/>
        <w:spacing w:line="226" w:lineRule="exact"/>
        <w:ind w:left="2736" w:hanging="1152"/>
      </w:pPr>
      <w:r w:rsidRPr="00AB7CA1">
        <w:tab/>
        <w:t>En este sentido, la entrega del oficio a que hace referencia el artículo 91 de la Ley del ISR, es independiente del levantamiento de la última acta parcial o del oficio de observaciones, documentos en los que debe constar la entrega del oficio mencionado.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50331C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87F2090" w14:textId="77777777" w:rsidR="0098530D" w:rsidRPr="00AB7CA1" w:rsidRDefault="0098530D" w:rsidP="00552502">
            <w:pPr>
              <w:pStyle w:val="Texto"/>
              <w:spacing w:line="226" w:lineRule="exact"/>
              <w:ind w:firstLine="0"/>
              <w:jc w:val="cente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010F13B" w14:textId="77777777" w:rsidR="0098530D" w:rsidRPr="00AB7CA1" w:rsidRDefault="0098530D" w:rsidP="00552502">
            <w:pPr>
              <w:pStyle w:val="Texto"/>
              <w:spacing w:line="226" w:lineRule="exact"/>
              <w:ind w:firstLine="0"/>
              <w:jc w:val="center"/>
              <w:rPr>
                <w:b/>
              </w:rPr>
            </w:pPr>
            <w:r w:rsidRPr="00AB7CA1">
              <w:rPr>
                <w:b/>
              </w:rPr>
              <w:t>Primer antecedente</w:t>
            </w:r>
          </w:p>
        </w:tc>
      </w:tr>
      <w:tr w:rsidR="0098530D" w:rsidRPr="00AB7CA1" w14:paraId="3CCDD11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698CAB3" w14:textId="77777777" w:rsidR="0098530D" w:rsidRPr="00AB7CA1" w:rsidRDefault="0098530D" w:rsidP="00552502">
            <w:pPr>
              <w:pStyle w:val="Texto"/>
              <w:spacing w:line="226" w:lineRule="exact"/>
              <w:ind w:firstLine="0"/>
            </w:pPr>
            <w:r w:rsidRPr="00AB7CA1">
              <w:t>20/2001/CFF</w:t>
            </w:r>
          </w:p>
        </w:tc>
        <w:tc>
          <w:tcPr>
            <w:tcW w:w="3237" w:type="pct"/>
            <w:tcBorders>
              <w:top w:val="single" w:sz="6" w:space="0" w:color="auto"/>
              <w:left w:val="single" w:sz="6" w:space="0" w:color="auto"/>
              <w:bottom w:val="single" w:sz="6" w:space="0" w:color="auto"/>
              <w:right w:val="single" w:sz="6" w:space="0" w:color="auto"/>
            </w:tcBorders>
          </w:tcPr>
          <w:p w14:paraId="1EA50C19" w14:textId="77777777" w:rsidR="0098530D" w:rsidRPr="00AB7CA1" w:rsidRDefault="0098530D" w:rsidP="00552502">
            <w:pPr>
              <w:pStyle w:val="Texto"/>
              <w:spacing w:line="226" w:lineRule="exact"/>
              <w:ind w:firstLine="0"/>
            </w:pPr>
            <w:r w:rsidRPr="00AB7CA1">
              <w:t>Oficio 325-SAT-A-31123 de 14 de septiembre de 2001, mediante el cual se da a conocer la nueva Compilación de Criterios Normativos 2001.</w:t>
            </w:r>
          </w:p>
        </w:tc>
      </w:tr>
    </w:tbl>
    <w:p w14:paraId="3EDBD139" w14:textId="77777777" w:rsidR="0098530D" w:rsidRPr="00AB7CA1" w:rsidRDefault="0098530D" w:rsidP="0098530D">
      <w:pPr>
        <w:pStyle w:val="Texto"/>
        <w:spacing w:line="226" w:lineRule="exact"/>
        <w:rPr>
          <w:b/>
        </w:rPr>
      </w:pPr>
    </w:p>
    <w:p w14:paraId="11F65E70" w14:textId="77777777" w:rsidR="0098530D" w:rsidRPr="00AB7CA1" w:rsidRDefault="0098530D" w:rsidP="0098530D">
      <w:pPr>
        <w:pStyle w:val="Texto"/>
        <w:spacing w:line="226" w:lineRule="exact"/>
        <w:ind w:left="2736" w:hanging="1152"/>
        <w:rPr>
          <w:b/>
        </w:rPr>
      </w:pPr>
      <w:r w:rsidRPr="00AB7CA1">
        <w:rPr>
          <w:b/>
        </w:rPr>
        <w:t>11/CFF/N</w:t>
      </w:r>
      <w:r w:rsidRPr="00AB7CA1">
        <w:rPr>
          <w:b/>
        </w:rPr>
        <w:tab/>
        <w:t>Garantía del interés fiscal. Están relevadas de otorgarla las instituciones que conforman el Sistema Bancario Mexicano.</w:t>
      </w:r>
    </w:p>
    <w:p w14:paraId="3391A34A" w14:textId="77777777" w:rsidR="0098530D" w:rsidRPr="00AB7CA1" w:rsidRDefault="0098530D" w:rsidP="0098530D">
      <w:pPr>
        <w:pStyle w:val="Texto"/>
        <w:spacing w:line="226" w:lineRule="exact"/>
        <w:ind w:left="2736" w:hanging="1152"/>
      </w:pPr>
      <w:r w:rsidRPr="00AB7CA1">
        <w:rPr>
          <w:b/>
        </w:rPr>
        <w:tab/>
      </w:r>
      <w:r w:rsidRPr="00AB7CA1">
        <w:t>El artículo 65 del CFF, establece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su notificación.</w:t>
      </w:r>
    </w:p>
    <w:p w14:paraId="753214FD" w14:textId="77777777" w:rsidR="0098530D" w:rsidRPr="00AB7CA1" w:rsidRDefault="0098530D" w:rsidP="0098530D">
      <w:pPr>
        <w:pStyle w:val="Texto"/>
        <w:spacing w:line="228" w:lineRule="exact"/>
        <w:ind w:left="2736" w:hanging="1152"/>
      </w:pPr>
      <w:r w:rsidRPr="00AB7CA1">
        <w:tab/>
        <w:t>El artículo 141 del mismo Código, señala las formas en que los contribuyentes podrán garantizar el interés fiscal y dispone que las autoridades fiscales en ningún caso podrán dispensar el otorgamiento de la garantía del interés fiscal, asimismo, el artículo 142 del citado ordenamiento legal refiere los casos en los cuales procede garantizar el interés fiscal.</w:t>
      </w:r>
    </w:p>
    <w:p w14:paraId="1D5C1636" w14:textId="77777777" w:rsidR="0098530D" w:rsidRPr="00AB7CA1" w:rsidRDefault="0098530D" w:rsidP="0098530D">
      <w:pPr>
        <w:pStyle w:val="Texto"/>
        <w:spacing w:line="228" w:lineRule="exact"/>
        <w:ind w:left="2736" w:hanging="1152"/>
      </w:pPr>
      <w:r w:rsidRPr="00AB7CA1">
        <w:tab/>
        <w:t>Del análisis de los artículos 65, 141 y 142 del CFF, se desprende la regla general relativa a que todos los créditos fiscales exigibles a favor del fisco federal, pendientes de pago por parte de los contribuyentes obligados, deben garantizarse, y que en ningún caso las autoridades fiscales podrán dispensar el otorgamiento de la garantía del interés fiscal, lo cual sólo es aplicable a los sujetos que legalmente están obligados a otorgar garantías, no así a aquéllos sujetos que por disposición legal expresa han sido relevados de dicha obligación.</w:t>
      </w:r>
    </w:p>
    <w:p w14:paraId="70CCE976" w14:textId="77777777" w:rsidR="0098530D" w:rsidRPr="00AB7CA1" w:rsidRDefault="0098530D" w:rsidP="0098530D">
      <w:pPr>
        <w:pStyle w:val="Texto"/>
        <w:spacing w:line="228" w:lineRule="exact"/>
        <w:ind w:left="2736" w:hanging="1152"/>
      </w:pPr>
      <w:r w:rsidRPr="00AB7CA1">
        <w:tab/>
        <w:t xml:space="preserve">El artículo 86 de la Ley de Instituciones de Crédito dispone que mientras los integrantes del Sistema Bancario Mexicano, no se encuentren en liquidación o en procedimiento de quiebra, se considerarán de acreditada solvencia y no estarán obligados a constituir depósitos o fianzas legales, ni aún tratándose de obtener la suspensión de los actos reclamados en los juicios de amparo o </w:t>
      </w:r>
      <w:r w:rsidRPr="00AB7CA1">
        <w:lastRenderedPageBreak/>
        <w:t>de garantizar el interés fiscal en los procedimientos respectivos. Asimismo, el artículo 3o. de la ley en comento, señala que el Sistema Bancario Mexicano está conformado por el Banco de México, las instituciones de banca múltiple y de desarrollo, así como por los fideicomisos públicos constituidos por el Gobierno Federal para el fomento económico que realicen actividades financieras y los organismos auto regulatorios bancarios.</w:t>
      </w:r>
    </w:p>
    <w:p w14:paraId="00253787" w14:textId="77777777" w:rsidR="0098530D" w:rsidRPr="00AB7CA1" w:rsidRDefault="0098530D" w:rsidP="0098530D">
      <w:pPr>
        <w:pStyle w:val="Texto"/>
        <w:spacing w:line="228" w:lineRule="exact"/>
        <w:ind w:left="2736" w:hanging="1152"/>
      </w:pPr>
      <w:r w:rsidRPr="00AB7CA1">
        <w:tab/>
        <w:t>Por lo anterior, las instituciones integrantes del Sistema Bancario Mexicano a que se refiere la Ley de Instituciones de Crédito se encuentran relevadas de la obligación de otorgar la garantía del interés fiscal.</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76574D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ECFD9A3" w14:textId="77777777" w:rsidR="0098530D" w:rsidRPr="00AB7CA1" w:rsidRDefault="0098530D" w:rsidP="00552502">
            <w:pPr>
              <w:pStyle w:val="Texto"/>
              <w:spacing w:line="228"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76DD0067" w14:textId="77777777" w:rsidR="0098530D" w:rsidRPr="00AB7CA1" w:rsidRDefault="0098530D" w:rsidP="00552502">
            <w:pPr>
              <w:pStyle w:val="Texto"/>
              <w:spacing w:line="228" w:lineRule="exact"/>
              <w:ind w:firstLine="0"/>
              <w:jc w:val="center"/>
              <w:rPr>
                <w:b/>
              </w:rPr>
            </w:pPr>
            <w:r w:rsidRPr="00AB7CA1">
              <w:rPr>
                <w:b/>
              </w:rPr>
              <w:t>Primer antecedente</w:t>
            </w:r>
          </w:p>
        </w:tc>
      </w:tr>
      <w:tr w:rsidR="0098530D" w:rsidRPr="00AB7CA1" w14:paraId="538DF9C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2A412F75" w14:textId="77777777" w:rsidR="0098530D" w:rsidRPr="00AB7CA1" w:rsidRDefault="0098530D" w:rsidP="00552502">
            <w:pPr>
              <w:pStyle w:val="Texto"/>
              <w:spacing w:line="228" w:lineRule="exact"/>
              <w:ind w:firstLine="0"/>
            </w:pPr>
            <w:r w:rsidRPr="00AB7CA1">
              <w:t>2010</w:t>
            </w:r>
          </w:p>
        </w:tc>
        <w:tc>
          <w:tcPr>
            <w:tcW w:w="3237" w:type="pct"/>
            <w:tcBorders>
              <w:top w:val="single" w:sz="6" w:space="0" w:color="auto"/>
              <w:left w:val="single" w:sz="6" w:space="0" w:color="auto"/>
              <w:bottom w:val="single" w:sz="6" w:space="0" w:color="auto"/>
              <w:right w:val="single" w:sz="6" w:space="0" w:color="auto"/>
            </w:tcBorders>
          </w:tcPr>
          <w:p w14:paraId="21C667EF" w14:textId="77777777" w:rsidR="0098530D" w:rsidRPr="00AB7CA1" w:rsidRDefault="0098530D" w:rsidP="00552502">
            <w:pPr>
              <w:pStyle w:val="Texto"/>
              <w:spacing w:line="228" w:lineRule="exact"/>
              <w:ind w:firstLine="0"/>
            </w:pPr>
            <w:r w:rsidRPr="00AB7CA1">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25/2010/CFF.</w:t>
            </w:r>
          </w:p>
        </w:tc>
      </w:tr>
    </w:tbl>
    <w:p w14:paraId="08B49C8B" w14:textId="77777777" w:rsidR="0098530D" w:rsidRPr="00AB7CA1" w:rsidRDefault="0098530D" w:rsidP="0098530D">
      <w:pPr>
        <w:pStyle w:val="Texto"/>
        <w:spacing w:line="228" w:lineRule="exact"/>
        <w:rPr>
          <w:b/>
        </w:rPr>
      </w:pPr>
    </w:p>
    <w:p w14:paraId="13E63207" w14:textId="77777777" w:rsidR="0098530D" w:rsidRPr="00AB7CA1" w:rsidRDefault="0098530D" w:rsidP="0098530D">
      <w:pPr>
        <w:pStyle w:val="Texto"/>
        <w:spacing w:line="228" w:lineRule="exact"/>
        <w:ind w:left="2736" w:hanging="1152"/>
        <w:rPr>
          <w:b/>
        </w:rPr>
      </w:pPr>
      <w:r w:rsidRPr="00AB7CA1">
        <w:rPr>
          <w:b/>
        </w:rPr>
        <w:t>12/CFF/N</w:t>
      </w:r>
      <w:r w:rsidRPr="00AB7CA1">
        <w:rPr>
          <w:b/>
        </w:rPr>
        <w:tab/>
        <w:t>Suspensión del plazo de caducidad cuando se hacen valer medios de defensa.</w:t>
      </w:r>
    </w:p>
    <w:p w14:paraId="0119EC7F" w14:textId="77777777" w:rsidR="0098530D" w:rsidRPr="00AB7CA1" w:rsidRDefault="0098530D" w:rsidP="0098530D">
      <w:pPr>
        <w:pStyle w:val="Texto"/>
        <w:spacing w:line="228" w:lineRule="exact"/>
        <w:ind w:left="2736" w:hanging="1152"/>
      </w:pPr>
      <w:r w:rsidRPr="00AB7CA1">
        <w:rPr>
          <w:b/>
        </w:rPr>
        <w:tab/>
      </w:r>
      <w:r w:rsidRPr="00AB7CA1">
        <w:t>De conformidad con el artículo 67 del CFF se suspende el plazo para que opere la caducidad de las facultades de comprobación de las autoridades fiscales, cuando se hace valer cualquier medio de defensa, independientemente del sentido de la resolución que emitan las autoridades fiscales o el órgano jurisdiccional.</w:t>
      </w:r>
    </w:p>
    <w:p w14:paraId="5A926F38" w14:textId="77777777" w:rsidR="0098530D" w:rsidRPr="00AB7CA1" w:rsidRDefault="0098530D" w:rsidP="0098530D">
      <w:pPr>
        <w:pStyle w:val="Texto"/>
        <w:spacing w:line="228" w:lineRule="exact"/>
        <w:ind w:left="2736" w:hanging="1152"/>
      </w:pPr>
      <w:r w:rsidRPr="00AB7CA1">
        <w:tab/>
        <w:t>Por lo tanto, en el supuesto señalado en el párrafo anterior, si la autoridad fiscal determina ejercer nuevamente las facultades de comprobación, deberá verificar que no se han extinguido dichas facultades y computar el plazo de cinco años establecido en el referido numeral, excluyendo el tiempo de suspensión que se haya generado por la interposición del recurso o juicio respectivo.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B37EF2C" w14:textId="77777777" w:rsidTr="00552502">
        <w:tblPrEx>
          <w:tblCellMar>
            <w:top w:w="0" w:type="dxa"/>
            <w:bottom w:w="0" w:type="dxa"/>
          </w:tblCellMar>
        </w:tblPrEx>
        <w:trPr>
          <w:cantSplit/>
          <w:trHeight w:val="327"/>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3EC1A231" w14:textId="77777777" w:rsidR="0098530D" w:rsidRPr="00AB7CA1" w:rsidRDefault="0098530D" w:rsidP="00552502">
            <w:pPr>
              <w:pStyle w:val="Texto"/>
              <w:spacing w:line="228"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57817DB" w14:textId="77777777" w:rsidR="0098530D" w:rsidRPr="00AB7CA1" w:rsidRDefault="0098530D" w:rsidP="00552502">
            <w:pPr>
              <w:pStyle w:val="Texto"/>
              <w:spacing w:line="228" w:lineRule="exact"/>
              <w:ind w:firstLine="0"/>
              <w:jc w:val="center"/>
              <w:rPr>
                <w:b/>
              </w:rPr>
            </w:pPr>
            <w:r w:rsidRPr="00AB7CA1">
              <w:rPr>
                <w:b/>
              </w:rPr>
              <w:t>Primer antecedente</w:t>
            </w:r>
          </w:p>
        </w:tc>
      </w:tr>
      <w:tr w:rsidR="0098530D" w:rsidRPr="00AB7CA1" w14:paraId="62EDECC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BDF30D0" w14:textId="77777777" w:rsidR="0098530D" w:rsidRPr="00AB7CA1" w:rsidRDefault="0098530D" w:rsidP="00552502">
            <w:pPr>
              <w:pStyle w:val="Texto"/>
              <w:spacing w:line="228" w:lineRule="exact"/>
              <w:ind w:firstLine="0"/>
            </w:pPr>
            <w:r w:rsidRPr="00AB7CA1">
              <w:t>9/2002/CFF</w:t>
            </w:r>
          </w:p>
        </w:tc>
        <w:tc>
          <w:tcPr>
            <w:tcW w:w="3237" w:type="pct"/>
            <w:tcBorders>
              <w:top w:val="single" w:sz="6" w:space="0" w:color="auto"/>
              <w:left w:val="single" w:sz="6" w:space="0" w:color="auto"/>
              <w:bottom w:val="single" w:sz="6" w:space="0" w:color="auto"/>
              <w:right w:val="single" w:sz="6" w:space="0" w:color="auto"/>
            </w:tcBorders>
          </w:tcPr>
          <w:p w14:paraId="3C60A6DB" w14:textId="77777777" w:rsidR="0098530D" w:rsidRPr="00AB7CA1" w:rsidRDefault="0098530D" w:rsidP="00552502">
            <w:pPr>
              <w:pStyle w:val="Texto"/>
              <w:spacing w:line="228" w:lineRule="exact"/>
              <w:ind w:firstLine="0"/>
            </w:pPr>
            <w:r w:rsidRPr="00AB7CA1">
              <w:t>Oficio 325-SAT-A-31676 de 24 de mayo de 2002.</w:t>
            </w:r>
          </w:p>
        </w:tc>
      </w:tr>
    </w:tbl>
    <w:p w14:paraId="5CA2A574" w14:textId="77777777" w:rsidR="0098530D" w:rsidRPr="00AB7CA1" w:rsidRDefault="0098530D" w:rsidP="0098530D">
      <w:pPr>
        <w:pStyle w:val="Texto"/>
        <w:spacing w:line="224" w:lineRule="exact"/>
        <w:ind w:left="2736" w:hanging="1152"/>
        <w:rPr>
          <w:b/>
        </w:rPr>
      </w:pPr>
      <w:r w:rsidRPr="00AB7CA1">
        <w:rPr>
          <w:b/>
        </w:rPr>
        <w:t>13/CFF/N</w:t>
      </w:r>
      <w:r w:rsidRPr="00AB7CA1">
        <w:rPr>
          <w:b/>
        </w:rPr>
        <w:tab/>
        <w:t>Caducidad de las facultades de la autoridad fiscal. La suspensión del plazo con motivo de la interposición de algún recurso administrativo o juicio, debe considerarse independiente del plazo de diez años.</w:t>
      </w:r>
    </w:p>
    <w:p w14:paraId="66B22E54" w14:textId="77777777" w:rsidR="0098530D" w:rsidRPr="00AB7CA1" w:rsidRDefault="0098530D" w:rsidP="0098530D">
      <w:pPr>
        <w:pStyle w:val="Texto"/>
        <w:spacing w:line="224" w:lineRule="exact"/>
        <w:ind w:left="2736" w:hanging="1152"/>
      </w:pPr>
      <w:r w:rsidRPr="00AB7CA1">
        <w:rPr>
          <w:b/>
        </w:rPr>
        <w:tab/>
      </w:r>
      <w:r w:rsidRPr="00AB7CA1">
        <w:t>El artículo 67, sexto párrafo del CFF precisa que el plazo de caducidad que se suspende con motivo del ejercicio de las facultades de comprobación, adicionado con el plazo por el que no se suspende dicha caducidad, no podrá exceder de diez años.</w:t>
      </w:r>
    </w:p>
    <w:p w14:paraId="5CA82887" w14:textId="77777777" w:rsidR="0098530D" w:rsidRPr="00AB7CA1" w:rsidRDefault="0098530D" w:rsidP="0098530D">
      <w:pPr>
        <w:pStyle w:val="Texto"/>
        <w:spacing w:line="224" w:lineRule="exact"/>
        <w:ind w:left="2736" w:hanging="1152"/>
      </w:pPr>
      <w:r w:rsidRPr="00AB7CA1">
        <w:tab/>
        <w:t>En tal virtud, esta suspensión sólo aplica tratándose del ejercicio de facultades de comprobación de la autoridad, mismo que inicia con la notificación de su ejercicio y concluye cuando se notifique la resolución definitiva por parte de la autoridad fiscal, por lo tanto, el plazo de los diez años a que se refiere el artículo 67 de dicho Código, debe computarse sumando el plazo por el que no se suspende la caducidad con el plazo de suspensión.</w:t>
      </w:r>
    </w:p>
    <w:p w14:paraId="3A279EFB" w14:textId="77777777" w:rsidR="0098530D" w:rsidRDefault="0098530D" w:rsidP="0098530D">
      <w:pPr>
        <w:pStyle w:val="Texto"/>
        <w:spacing w:line="224" w:lineRule="exact"/>
        <w:ind w:left="2736" w:hanging="1152"/>
      </w:pPr>
      <w:r w:rsidRPr="00AB7CA1">
        <w:tab/>
        <w:t>Consecuentemente, la suspensión del plazo de caducidad con motivo de la interposición de algún recurso administrativo o juicio, debe considerarse independiente de los diez años a que se refiere el artículo 67, antepenúltimo párrafo del citado Código.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E22A1B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1D0AD828" w14:textId="77777777" w:rsidR="0098530D" w:rsidRPr="00AB7CA1" w:rsidRDefault="0098530D" w:rsidP="00552502">
            <w:pPr>
              <w:pStyle w:val="Texto"/>
              <w:spacing w:line="224" w:lineRule="exact"/>
              <w:ind w:firstLine="0"/>
              <w:jc w:val="center"/>
              <w:rPr>
                <w:b/>
              </w:rPr>
            </w:pPr>
            <w:r w:rsidRPr="00AB7CA1">
              <w:rPr>
                <w:b/>
              </w:rPr>
              <w:lastRenderedPageBreak/>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44132942" w14:textId="77777777" w:rsidR="0098530D" w:rsidRPr="00AB7CA1" w:rsidRDefault="0098530D" w:rsidP="00552502">
            <w:pPr>
              <w:pStyle w:val="Texto"/>
              <w:spacing w:line="224" w:lineRule="exact"/>
              <w:ind w:firstLine="0"/>
              <w:jc w:val="center"/>
              <w:rPr>
                <w:b/>
              </w:rPr>
            </w:pPr>
            <w:r w:rsidRPr="00AB7CA1">
              <w:rPr>
                <w:b/>
              </w:rPr>
              <w:t>Primer antecedente</w:t>
            </w:r>
          </w:p>
        </w:tc>
      </w:tr>
      <w:tr w:rsidR="0098530D" w:rsidRPr="00AB7CA1" w14:paraId="18D7FEA5"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1A1DF8B" w14:textId="77777777" w:rsidR="0098530D" w:rsidRPr="00AB7CA1" w:rsidRDefault="0098530D" w:rsidP="00552502">
            <w:pPr>
              <w:pStyle w:val="Texto"/>
              <w:spacing w:line="224" w:lineRule="exact"/>
              <w:ind w:firstLine="0"/>
            </w:pPr>
            <w:r w:rsidRPr="00AB7CA1">
              <w:t>2/2005/CFF</w:t>
            </w:r>
          </w:p>
        </w:tc>
        <w:tc>
          <w:tcPr>
            <w:tcW w:w="3237" w:type="pct"/>
            <w:tcBorders>
              <w:top w:val="single" w:sz="6" w:space="0" w:color="auto"/>
              <w:left w:val="single" w:sz="6" w:space="0" w:color="auto"/>
              <w:bottom w:val="single" w:sz="6" w:space="0" w:color="auto"/>
              <w:right w:val="single" w:sz="6" w:space="0" w:color="auto"/>
            </w:tcBorders>
          </w:tcPr>
          <w:p w14:paraId="3A097B9D" w14:textId="77777777" w:rsidR="0098530D" w:rsidRPr="00AB7CA1" w:rsidRDefault="0098530D" w:rsidP="00552502">
            <w:pPr>
              <w:pStyle w:val="Texto"/>
              <w:spacing w:line="224" w:lineRule="exact"/>
              <w:ind w:firstLine="0"/>
            </w:pPr>
            <w:r w:rsidRPr="00AB7CA1">
              <w:t xml:space="preserve">Oficio 325-SAT-09-IV-B-118532 de 19 de septiembre de 2005, mediante el cual se emite la Compilación de Criterios Normativos. Liberación de la primera parte del Boletín 2005. </w:t>
            </w:r>
          </w:p>
        </w:tc>
      </w:tr>
    </w:tbl>
    <w:p w14:paraId="3150BF42" w14:textId="77777777" w:rsidR="0098530D" w:rsidRPr="00AB7CA1" w:rsidRDefault="0098530D" w:rsidP="0098530D">
      <w:pPr>
        <w:pStyle w:val="Texto"/>
        <w:spacing w:line="224" w:lineRule="exact"/>
        <w:rPr>
          <w:b/>
        </w:rPr>
      </w:pPr>
    </w:p>
    <w:p w14:paraId="01C60D1D" w14:textId="77777777" w:rsidR="0098530D" w:rsidRPr="00AB7CA1" w:rsidRDefault="0098530D" w:rsidP="0098530D">
      <w:pPr>
        <w:pStyle w:val="Texto"/>
        <w:spacing w:line="224" w:lineRule="exact"/>
        <w:ind w:left="2736" w:hanging="1152"/>
        <w:rPr>
          <w:b/>
        </w:rPr>
      </w:pPr>
      <w:r w:rsidRPr="00AB7CA1">
        <w:rPr>
          <w:b/>
        </w:rPr>
        <w:t>14/CFF/N</w:t>
      </w:r>
      <w:r w:rsidRPr="00AB7CA1">
        <w:rPr>
          <w:b/>
        </w:rPr>
        <w:tab/>
        <w:t>Infracciones. Aplicación de las multas establecidas en el CFF.</w:t>
      </w:r>
    </w:p>
    <w:p w14:paraId="25F1C59D" w14:textId="77777777" w:rsidR="0098530D" w:rsidRPr="00AB7CA1" w:rsidRDefault="0098530D" w:rsidP="0098530D">
      <w:pPr>
        <w:pStyle w:val="Texto"/>
        <w:spacing w:line="224" w:lineRule="exact"/>
        <w:ind w:left="2736" w:hanging="1152"/>
      </w:pPr>
      <w:r w:rsidRPr="00AB7CA1">
        <w:rPr>
          <w:b/>
        </w:rPr>
        <w:tab/>
      </w:r>
      <w:r w:rsidRPr="00AB7CA1">
        <w:t>El artículo 70, penúltimo párrafo del CFF dispone que cuando la multa aplicable a una misma conducta infraccionada, sea modificada posteriormente mediante reforma al precepto legal que la contenga, las autoridades fiscales aplicarán la multa que resulte menor entre la existente en el momento en que se cometió la infracción y la multa vigente en el momento de su imposición.</w:t>
      </w:r>
    </w:p>
    <w:p w14:paraId="4736D4BB" w14:textId="77777777" w:rsidR="0098530D" w:rsidRPr="00AB7CA1" w:rsidRDefault="0098530D" w:rsidP="0098530D">
      <w:pPr>
        <w:pStyle w:val="Texto"/>
        <w:spacing w:line="224" w:lineRule="exact"/>
        <w:ind w:left="2736" w:hanging="1152"/>
      </w:pPr>
      <w:r w:rsidRPr="00AB7CA1">
        <w:tab/>
        <w:t>El artículo 6o., primer párrafo del Código en comento, establece que las contribuciones se causan conforme se realizan las situaciones jurídicas o de hecho, previstas en las leyes fiscales vigentes durante el lapso en que ocurran.</w:t>
      </w:r>
    </w:p>
    <w:p w14:paraId="1D8BD95C" w14:textId="77777777" w:rsidR="0098530D" w:rsidRPr="00AB7CA1" w:rsidRDefault="0098530D" w:rsidP="0098530D">
      <w:pPr>
        <w:pStyle w:val="Texto"/>
        <w:spacing w:line="224" w:lineRule="exact"/>
        <w:ind w:left="2736" w:hanging="1152"/>
      </w:pPr>
      <w:r w:rsidRPr="00AB7CA1">
        <w:tab/>
        <w:t>De la interpretación estricta a ambas disposiciones fiscales, la aplicación de las multas que dicho Código prevé, debe ser de acuerdo al precepto legal que esté vigente en el ejercicio fiscal en el que se actualicen las situaciones jurídicas o de hecho que se sancionan, independientemente de que se impongan con posterioridad.</w:t>
      </w:r>
    </w:p>
    <w:p w14:paraId="191E6695" w14:textId="77777777" w:rsidR="0098530D" w:rsidRPr="00AB7CA1" w:rsidRDefault="0098530D" w:rsidP="0098530D">
      <w:pPr>
        <w:pStyle w:val="Texto"/>
        <w:spacing w:line="224" w:lineRule="exact"/>
        <w:ind w:left="2736" w:hanging="1152"/>
      </w:pPr>
      <w:r w:rsidRPr="00AB7CA1">
        <w:tab/>
        <w:t>Sin embargo, el beneficio a que se refiere el artículo 70, penúltimo párrafo del multicitado Código, debe entenderse en el sentido de que únicamente procede conforme a la ley vigente, sin que sea posible que la autoridad con fundamento en este precepto legal, pueda modificar la sanción, después de que esta ha sido notificada al infractor, si posteriormente se reforma el precepto legal estableciendo una sanción menor.</w:t>
      </w:r>
    </w:p>
    <w:p w14:paraId="3E521288" w14:textId="77777777" w:rsidR="0098530D" w:rsidRPr="00AB7CA1" w:rsidRDefault="0098530D" w:rsidP="0098530D">
      <w:pPr>
        <w:pStyle w:val="Texto"/>
        <w:spacing w:line="224" w:lineRule="exact"/>
        <w:ind w:left="2736" w:hanging="1152"/>
      </w:pPr>
      <w:r w:rsidRPr="00AB7CA1">
        <w:tab/>
        <w:t>En caso de que mediante reforma a la legislación fiscal se hubiere suprimido en su totalidad alguna infracción, las autoridades fiscales no aplicarán al emitir su resolución las multas correspondientes a dichas infracciones derogadas, puesto que de acuerdo con la disposición en comento, se aplicará la multa que resulte menor entre la existente en el momento en que se cometió la infracción y la vigente en el momento de su imposición y en el caso señalado, al haber sido suprimida la infracción, no existe sanción vigente por aplicar.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3A30E75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D9DD248" w14:textId="77777777" w:rsidR="0098530D" w:rsidRPr="00AB7CA1" w:rsidRDefault="0098530D" w:rsidP="00552502">
            <w:pPr>
              <w:pStyle w:val="Texto"/>
              <w:spacing w:line="222"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A98FD0E" w14:textId="77777777" w:rsidR="0098530D" w:rsidRPr="00AB7CA1" w:rsidRDefault="0098530D" w:rsidP="00552502">
            <w:pPr>
              <w:pStyle w:val="Texto"/>
              <w:spacing w:line="222" w:lineRule="exact"/>
              <w:ind w:firstLine="0"/>
              <w:jc w:val="center"/>
              <w:rPr>
                <w:b/>
              </w:rPr>
            </w:pPr>
            <w:r w:rsidRPr="00AB7CA1">
              <w:rPr>
                <w:b/>
              </w:rPr>
              <w:t>Primer antecedente</w:t>
            </w:r>
          </w:p>
        </w:tc>
      </w:tr>
      <w:tr w:rsidR="0098530D" w:rsidRPr="00AB7CA1" w14:paraId="7A994E0C"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126D11E" w14:textId="77777777" w:rsidR="0098530D" w:rsidRPr="00AB7CA1" w:rsidRDefault="0098530D" w:rsidP="00552502">
            <w:pPr>
              <w:pStyle w:val="Texto"/>
              <w:spacing w:line="222" w:lineRule="exact"/>
              <w:ind w:firstLine="0"/>
            </w:pPr>
            <w:r w:rsidRPr="00AB7CA1">
              <w:t>110/2001/CFF</w:t>
            </w:r>
          </w:p>
        </w:tc>
        <w:tc>
          <w:tcPr>
            <w:tcW w:w="3237" w:type="pct"/>
            <w:tcBorders>
              <w:top w:val="single" w:sz="6" w:space="0" w:color="auto"/>
              <w:left w:val="single" w:sz="6" w:space="0" w:color="auto"/>
              <w:bottom w:val="single" w:sz="6" w:space="0" w:color="auto"/>
              <w:right w:val="single" w:sz="6" w:space="0" w:color="auto"/>
            </w:tcBorders>
          </w:tcPr>
          <w:p w14:paraId="49311256" w14:textId="77777777" w:rsidR="0098530D" w:rsidRPr="00AB7CA1" w:rsidRDefault="0098530D" w:rsidP="00552502">
            <w:pPr>
              <w:pStyle w:val="Texto"/>
              <w:spacing w:line="222" w:lineRule="exact"/>
              <w:ind w:firstLine="0"/>
            </w:pPr>
            <w:r w:rsidRPr="00AB7CA1">
              <w:t>Oficio 325-SAT-A-31373 de 12 de diciembre de 2001. Compilación de Criterios Normativos. Se dan a conocer criterios.</w:t>
            </w:r>
          </w:p>
        </w:tc>
      </w:tr>
    </w:tbl>
    <w:p w14:paraId="665421BC" w14:textId="77777777" w:rsidR="0098530D" w:rsidRPr="00AB7CA1" w:rsidRDefault="0098530D" w:rsidP="0098530D">
      <w:pPr>
        <w:pStyle w:val="Texto"/>
        <w:spacing w:line="222" w:lineRule="exact"/>
        <w:rPr>
          <w:b/>
        </w:rPr>
      </w:pPr>
    </w:p>
    <w:p w14:paraId="449F2168" w14:textId="77777777" w:rsidR="0098530D" w:rsidRPr="00AB7CA1" w:rsidRDefault="0098530D" w:rsidP="0098530D">
      <w:pPr>
        <w:pStyle w:val="Texto"/>
        <w:spacing w:line="222" w:lineRule="exact"/>
        <w:ind w:left="2736" w:hanging="1152"/>
        <w:rPr>
          <w:b/>
        </w:rPr>
      </w:pPr>
      <w:r w:rsidRPr="00AB7CA1">
        <w:rPr>
          <w:b/>
        </w:rPr>
        <w:t>15/CFF/N</w:t>
      </w:r>
      <w:r w:rsidRPr="00AB7CA1">
        <w:rPr>
          <w:b/>
        </w:rPr>
        <w:tab/>
        <w:t>Declaración de nulidad lisa y llana o la revocación de la resolución correspondiente no desvirtúa el cumplimiento espontáneo.</w:t>
      </w:r>
    </w:p>
    <w:p w14:paraId="27D17324" w14:textId="77777777" w:rsidR="0098530D" w:rsidRPr="00AB7CA1" w:rsidRDefault="0098530D" w:rsidP="0098530D">
      <w:pPr>
        <w:pStyle w:val="Texto"/>
        <w:spacing w:line="222" w:lineRule="exact"/>
        <w:ind w:left="2736" w:hanging="1152"/>
      </w:pPr>
      <w:r w:rsidRPr="00AB7CA1">
        <w:rPr>
          <w:b/>
        </w:rPr>
        <w:tab/>
      </w:r>
      <w:r w:rsidRPr="00AB7CA1">
        <w:t>El artículo 73, fracción II del CFF establece que el cumplimiento de las obligaciones fiscales no se considera realizado de manera espontánea cuando la omisión haya sido corregida por el contribuyente después de que las autoridades fiscales hubieran notificado una orden de visita domiciliaria, o haya mediado requerimiento o cualquier otra gestión notificada por las mismas, tendientes a la comprobación del cumplimiento de las disposiciones fiscales.</w:t>
      </w:r>
    </w:p>
    <w:p w14:paraId="293AF62F" w14:textId="77777777" w:rsidR="0098530D" w:rsidRPr="00AB7CA1" w:rsidRDefault="0098530D" w:rsidP="0098530D">
      <w:pPr>
        <w:pStyle w:val="Texto"/>
        <w:spacing w:line="222" w:lineRule="exact"/>
        <w:ind w:left="2736" w:hanging="1152"/>
      </w:pPr>
      <w:r w:rsidRPr="00AB7CA1">
        <w:lastRenderedPageBreak/>
        <w:tab/>
        <w:t>La orden de visita domiciliaria, el requerimiento o cualquier gestión, tendiente a la comprobación en el cumplimiento de las obligaciones fiscales, puede quedar sin efectos como consecuencia de una resolución emitida por la autoridad competente al resolver un recurso administrativo, o con motivo de una sentencia emitida por el Tribunal competente, y posteriormente el contribuyente puede cumplir con la obligación omitida, siempre que la autoridad no haya notificado una nueva orden de visita, requerimiento o realice gestión tendiente a verificar el cumplimiento de las obligaciones fiscales del contribuyente.</w:t>
      </w:r>
    </w:p>
    <w:p w14:paraId="56033533" w14:textId="77777777" w:rsidR="0098530D" w:rsidRPr="00AB7CA1" w:rsidRDefault="0098530D" w:rsidP="0098530D">
      <w:pPr>
        <w:pStyle w:val="Texto"/>
        <w:spacing w:line="222" w:lineRule="exact"/>
        <w:ind w:left="2736" w:hanging="1152"/>
      </w:pPr>
      <w:r w:rsidRPr="00AB7CA1">
        <w:tab/>
        <w:t>En consecuencia no procederá la imposición de multas, ya que el cumplimiento se considera realizado de manera espontánea, respecto del acto o resolución declarado nulo, sin embargo, en el supuesto de que en el recurso administrativo o juicio se reconozca la legalidad de la orden de visita, del requerimiento o gestión de la autoridad tendiente a verificar el cumplimiento de obligaciones fiscales, la posterior imposición de la multa sí resulta procedente.</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53D50510"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41CD458" w14:textId="77777777" w:rsidR="0098530D" w:rsidRPr="00AB7CA1" w:rsidRDefault="0098530D" w:rsidP="00552502">
            <w:pPr>
              <w:pStyle w:val="Texto"/>
              <w:spacing w:line="222"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710B269B" w14:textId="77777777" w:rsidR="0098530D" w:rsidRPr="00AB7CA1" w:rsidRDefault="0098530D" w:rsidP="00552502">
            <w:pPr>
              <w:pStyle w:val="Texto"/>
              <w:spacing w:line="222" w:lineRule="exact"/>
              <w:ind w:firstLine="0"/>
              <w:jc w:val="center"/>
              <w:rPr>
                <w:b/>
              </w:rPr>
            </w:pPr>
            <w:r w:rsidRPr="00AB7CA1">
              <w:rPr>
                <w:b/>
              </w:rPr>
              <w:t>Primer antecedente</w:t>
            </w:r>
          </w:p>
        </w:tc>
      </w:tr>
      <w:tr w:rsidR="0098530D" w:rsidRPr="00AB7CA1" w14:paraId="6685BEB8"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2E302149" w14:textId="77777777" w:rsidR="0098530D" w:rsidRPr="00AB7CA1" w:rsidRDefault="0098530D" w:rsidP="00552502">
            <w:pPr>
              <w:pStyle w:val="Texto"/>
              <w:spacing w:line="222" w:lineRule="exact"/>
              <w:ind w:firstLine="0"/>
            </w:pPr>
            <w:r w:rsidRPr="00AB7CA1">
              <w:t>113/2001/CFF</w:t>
            </w:r>
          </w:p>
        </w:tc>
        <w:tc>
          <w:tcPr>
            <w:tcW w:w="3237" w:type="pct"/>
            <w:tcBorders>
              <w:top w:val="single" w:sz="6" w:space="0" w:color="auto"/>
              <w:left w:val="single" w:sz="6" w:space="0" w:color="auto"/>
              <w:bottom w:val="single" w:sz="6" w:space="0" w:color="auto"/>
              <w:right w:val="single" w:sz="6" w:space="0" w:color="auto"/>
            </w:tcBorders>
          </w:tcPr>
          <w:p w14:paraId="0779CBA2" w14:textId="77777777" w:rsidR="0098530D" w:rsidRPr="00AB7CA1" w:rsidRDefault="0098530D" w:rsidP="00552502">
            <w:pPr>
              <w:pStyle w:val="Texto"/>
              <w:spacing w:line="222" w:lineRule="exact"/>
              <w:ind w:firstLine="0"/>
            </w:pPr>
            <w:r w:rsidRPr="00AB7CA1">
              <w:t>Oficio 325-SAT-A-31373 de 12 de diciembre de 2001 Compilación de Criterios Normativos. Se dan a conocer criterios.</w:t>
            </w:r>
          </w:p>
        </w:tc>
      </w:tr>
    </w:tbl>
    <w:p w14:paraId="33F293E1" w14:textId="77777777" w:rsidR="0098530D" w:rsidRPr="00AB7CA1" w:rsidRDefault="0098530D" w:rsidP="0098530D">
      <w:pPr>
        <w:pStyle w:val="Texto"/>
        <w:spacing w:line="222" w:lineRule="exact"/>
        <w:rPr>
          <w:b/>
        </w:rPr>
      </w:pPr>
    </w:p>
    <w:p w14:paraId="7C1FDBF4" w14:textId="77777777" w:rsidR="0098530D" w:rsidRPr="00AB7CA1" w:rsidRDefault="0098530D" w:rsidP="0098530D">
      <w:pPr>
        <w:pStyle w:val="Texto"/>
        <w:spacing w:line="222" w:lineRule="exact"/>
        <w:ind w:left="2736" w:hanging="1152"/>
        <w:rPr>
          <w:b/>
        </w:rPr>
      </w:pPr>
      <w:r w:rsidRPr="00AB7CA1">
        <w:rPr>
          <w:b/>
        </w:rPr>
        <w:t>16/CFF/N</w:t>
      </w:r>
      <w:r w:rsidRPr="00AB7CA1">
        <w:rPr>
          <w:b/>
        </w:rPr>
        <w:tab/>
        <w:t>Imposición de multas. Determinación de la multa aplicable por la omisión en el entero de diversas contribuciones y en la presentación de declaraciones.</w:t>
      </w:r>
    </w:p>
    <w:p w14:paraId="6D4608D6" w14:textId="77777777" w:rsidR="0098530D" w:rsidRDefault="0098530D" w:rsidP="0098530D">
      <w:pPr>
        <w:pStyle w:val="Texto"/>
        <w:spacing w:line="222" w:lineRule="exact"/>
        <w:ind w:left="2736" w:hanging="1152"/>
      </w:pPr>
      <w:r w:rsidRPr="00AB7CA1">
        <w:tab/>
        <w:t>El artículo 75, primer párrafo del CFF establece que las autoridades, al aplicar las multas por infracción a las disposiciones fiscales, incluyendo las relacionadas con las contribuciones al comercio exterior, deberán fundar y motivar su resolución, por su parte en su fracción VI, señala que deberán tomar en consideración que cuando por un acto u omisión se infrinjan diversas disposiciones fiscales de carácter formal a las que correspondan varias multas, sólo se aplicará la que corresponda a la infracción cuya multa sea mayor.</w:t>
      </w:r>
    </w:p>
    <w:p w14:paraId="32CDFAD8" w14:textId="77777777" w:rsidR="0098530D" w:rsidRPr="00AB7CA1" w:rsidRDefault="0098530D" w:rsidP="0098530D">
      <w:pPr>
        <w:pStyle w:val="Texto"/>
        <w:spacing w:line="222" w:lineRule="exact"/>
        <w:ind w:left="2736" w:hanging="1152"/>
      </w:pPr>
      <w:r w:rsidRPr="00AB7CA1">
        <w:tab/>
        <w:t>Asimismo, el segundo párrafo de la fracción en comento, dispone que cuando por un acto o una omisión se infrinjan diversas disposiciones fiscales que establezcan obligaciones formales y se omita total o parcialmente el pago de contribuciones, a las que correspondan varias multas, sólo se aplicará la que corresponda a la infracción cuya multa sea mayor.</w:t>
      </w:r>
    </w:p>
    <w:p w14:paraId="231D091C" w14:textId="77777777" w:rsidR="0098530D" w:rsidRPr="00AB7CA1" w:rsidRDefault="0098530D" w:rsidP="0098530D">
      <w:pPr>
        <w:pStyle w:val="Texto"/>
        <w:spacing w:line="222" w:lineRule="exact"/>
        <w:ind w:left="2736" w:hanging="1152"/>
      </w:pPr>
      <w:r w:rsidRPr="00AB7CA1">
        <w:tab/>
        <w:t>Lo anterior con independencia de que las multas correspondientes se encuentren contenidas en diversos ordenamientos legales.</w:t>
      </w:r>
    </w:p>
    <w:p w14:paraId="2BF34C71" w14:textId="77777777" w:rsidR="0098530D" w:rsidRDefault="0098530D" w:rsidP="0098530D">
      <w:pPr>
        <w:pStyle w:val="Texto"/>
        <w:spacing w:after="96"/>
        <w:ind w:left="2736" w:hanging="1152"/>
      </w:pPr>
      <w:r w:rsidRPr="00AB7CA1">
        <w:tab/>
        <w:t>Por su parte, debe interpretarse que el último párrafo de la fracción VI del artículo supracitado, contempla que tratándose de la presentación de declaraciones, avisos o documentación aduanera correspondiente, cuando por diferentes contribuciones se deba presentar una misma forma oficial y se omita hacerlo por alguna de ellas, incluyendo cuando se esté ante la ausencia total de documentación, se aplicará una multa por cada contribución no declarada u obligación no cumplida.</w:t>
      </w:r>
    </w:p>
    <w:p w14:paraId="2FC859A7" w14:textId="77777777" w:rsidR="0098530D" w:rsidRPr="00AB7CA1" w:rsidRDefault="0098530D" w:rsidP="0098530D">
      <w:pPr>
        <w:pStyle w:val="Texto"/>
        <w:spacing w:after="96"/>
        <w:ind w:left="2736" w:hanging="1152"/>
      </w:pPr>
      <w:r w:rsidRPr="00AB7CA1">
        <w:tab/>
        <w:t>En este orden de ideas, atendiendo a la naturaleza de la obligación, el no efectuar un pago implica la comisión de una infracción, de tal forma que con la omisión de diversos pagos, se incurre en varias infracciones.</w:t>
      </w:r>
    </w:p>
    <w:p w14:paraId="342423E6" w14:textId="77777777" w:rsidR="0098530D" w:rsidRPr="00AB7CA1" w:rsidRDefault="0098530D" w:rsidP="0098530D">
      <w:pPr>
        <w:pStyle w:val="Texto"/>
        <w:spacing w:after="96"/>
        <w:ind w:left="2736" w:hanging="1152"/>
      </w:pPr>
      <w:r w:rsidRPr="00AB7CA1">
        <w:tab/>
        <w:t xml:space="preserve">En consecuencia, el no efectuar debidamente los pagos de una contribución o bien de diversas contribuciones, no obstante que se presenten mediante un mismo formato, declaración o documentación aduanera correspondiente, representa una multiplicidad de obligaciones incumplidas y la comisión de </w:t>
      </w:r>
      <w:r w:rsidRPr="00AB7CA1">
        <w:lastRenderedPageBreak/>
        <w:t>una infracción por cada pago no efectuado, por lo cual no es aplicable el artículo 75, fracción VI, primer párrafo en cita.</w:t>
      </w:r>
    </w:p>
    <w:p w14:paraId="69820C4A" w14:textId="77777777" w:rsidR="0098530D" w:rsidRPr="00AB7CA1" w:rsidRDefault="0098530D" w:rsidP="0098530D">
      <w:pPr>
        <w:pStyle w:val="Texto"/>
        <w:spacing w:after="96"/>
        <w:ind w:left="2736" w:hanging="1152"/>
      </w:pPr>
      <w:r w:rsidRPr="00AB7CA1">
        <w:tab/>
        <w:t>No obstante, si además de infringirse disposiciones de carácter formal se omite total o parcialmente el pago de contribuciones, se estará a lo señalado en el artículo 75, fracción VI, segundo párrafo del CFF para aplicar la multa mayor.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4F05981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3D1E55A4" w14:textId="77777777" w:rsidR="0098530D" w:rsidRPr="00AB7CA1" w:rsidRDefault="0098530D" w:rsidP="00552502">
            <w:pPr>
              <w:pStyle w:val="Texto"/>
              <w:spacing w:after="96"/>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4FC8377D" w14:textId="77777777" w:rsidR="0098530D" w:rsidRPr="00AB7CA1" w:rsidRDefault="0098530D" w:rsidP="00552502">
            <w:pPr>
              <w:pStyle w:val="Texto"/>
              <w:spacing w:after="96"/>
              <w:ind w:firstLine="0"/>
              <w:jc w:val="center"/>
              <w:rPr>
                <w:b/>
              </w:rPr>
            </w:pPr>
            <w:r w:rsidRPr="00AB7CA1">
              <w:rPr>
                <w:b/>
              </w:rPr>
              <w:t>Primer antecedente</w:t>
            </w:r>
          </w:p>
        </w:tc>
      </w:tr>
      <w:tr w:rsidR="0098530D" w:rsidRPr="00AB7CA1" w14:paraId="7907F22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24A98B58" w14:textId="77777777" w:rsidR="0098530D" w:rsidRPr="00AB7CA1" w:rsidRDefault="0098530D" w:rsidP="00552502">
            <w:pPr>
              <w:pStyle w:val="Texto"/>
              <w:spacing w:after="96"/>
              <w:ind w:firstLine="0"/>
            </w:pPr>
            <w:r w:rsidRPr="00AB7CA1">
              <w:t>37/2004/CFF</w:t>
            </w:r>
          </w:p>
        </w:tc>
        <w:tc>
          <w:tcPr>
            <w:tcW w:w="3237" w:type="pct"/>
            <w:tcBorders>
              <w:top w:val="single" w:sz="6" w:space="0" w:color="auto"/>
              <w:left w:val="single" w:sz="6" w:space="0" w:color="auto"/>
              <w:bottom w:val="single" w:sz="6" w:space="0" w:color="auto"/>
              <w:right w:val="single" w:sz="6" w:space="0" w:color="auto"/>
            </w:tcBorders>
          </w:tcPr>
          <w:p w14:paraId="17537DA5" w14:textId="77777777" w:rsidR="0098530D" w:rsidRPr="00AB7CA1" w:rsidRDefault="0098530D" w:rsidP="00552502">
            <w:pPr>
              <w:pStyle w:val="Texto"/>
              <w:spacing w:after="96"/>
              <w:ind w:firstLine="0"/>
            </w:pPr>
            <w:r w:rsidRPr="00AB7CA1">
              <w:t>Oficio 325-SAT-IV-B-91597 de 31 de agosto de 2004, mediante el cual se emite la liberación de la primera parte del Boletín 2004.</w:t>
            </w:r>
          </w:p>
        </w:tc>
      </w:tr>
    </w:tbl>
    <w:p w14:paraId="40E128B1" w14:textId="77777777" w:rsidR="0098530D" w:rsidRPr="00AB7CA1" w:rsidRDefault="0098530D" w:rsidP="0098530D">
      <w:pPr>
        <w:pStyle w:val="Texto"/>
        <w:spacing w:after="96"/>
        <w:rPr>
          <w:b/>
        </w:rPr>
      </w:pPr>
    </w:p>
    <w:p w14:paraId="18E2F16F" w14:textId="77777777" w:rsidR="0098530D" w:rsidRPr="00AB7CA1" w:rsidRDefault="0098530D" w:rsidP="0098530D">
      <w:pPr>
        <w:pStyle w:val="Texto"/>
        <w:spacing w:after="96"/>
        <w:ind w:left="2736" w:hanging="1152"/>
        <w:rPr>
          <w:b/>
        </w:rPr>
      </w:pPr>
      <w:r w:rsidRPr="00AB7CA1">
        <w:rPr>
          <w:b/>
        </w:rPr>
        <w:t>17/CFF/N</w:t>
      </w:r>
      <w:r w:rsidRPr="00AB7CA1">
        <w:rPr>
          <w:b/>
        </w:rPr>
        <w:tab/>
        <w:t>Supuestos de infracción relacionados con la obligación de presentar la información correspondiente sobre el pago, retención, acreditamiento y traslado del IVA en las operaciones con proveedores.</w:t>
      </w:r>
    </w:p>
    <w:p w14:paraId="5554EEB6" w14:textId="77777777" w:rsidR="0098530D" w:rsidRPr="00AB7CA1" w:rsidRDefault="0098530D" w:rsidP="0098530D">
      <w:pPr>
        <w:pStyle w:val="Texto"/>
        <w:spacing w:after="96"/>
        <w:ind w:left="2736" w:hanging="1152"/>
      </w:pPr>
      <w:r w:rsidRPr="00AB7CA1">
        <w:rPr>
          <w:b/>
        </w:rPr>
        <w:tab/>
      </w:r>
      <w:r w:rsidRPr="00AB7CA1">
        <w:t>El artículo 81, fracción XXVI del CFF establece que son infracciones relacionadas con la obligación de presentación de declaraciones, el no proporcionar la información a que se refiere el artículo 32, fracción VIII de la Ley del IVA a través de los medios, formatos electrónicos y plazos establecidos en dicha ley o presenten la información incompleta o con errores.</w:t>
      </w:r>
    </w:p>
    <w:p w14:paraId="3656AF95" w14:textId="77777777" w:rsidR="0098530D" w:rsidRPr="00AB7CA1" w:rsidRDefault="0098530D" w:rsidP="0098530D">
      <w:pPr>
        <w:pStyle w:val="Texto"/>
        <w:spacing w:after="96"/>
        <w:ind w:left="2736" w:hanging="1152"/>
      </w:pPr>
      <w:r w:rsidRPr="00AB7CA1">
        <w:tab/>
        <w:t>Del artículo 32, fracción VIII de la Ley del IVA, se desprenden las siguientes conductas infractoras:</w:t>
      </w:r>
    </w:p>
    <w:p w14:paraId="369ABD72" w14:textId="77777777" w:rsidR="0098530D" w:rsidRPr="00AB7CA1" w:rsidRDefault="0098530D" w:rsidP="0098530D">
      <w:pPr>
        <w:pStyle w:val="Texto"/>
        <w:spacing w:after="96"/>
        <w:ind w:left="3312" w:hanging="576"/>
      </w:pPr>
      <w:r w:rsidRPr="00AB7CA1">
        <w:rPr>
          <w:b/>
        </w:rPr>
        <w:t>I.</w:t>
      </w:r>
      <w:r w:rsidRPr="00AB7CA1">
        <w:rPr>
          <w:b/>
        </w:rPr>
        <w:tab/>
      </w:r>
      <w:r w:rsidRPr="00AB7CA1">
        <w:t>No proporcionar la información a través de los medios y formatos electrónicos correspondientes;</w:t>
      </w:r>
    </w:p>
    <w:p w14:paraId="6962A1D7" w14:textId="77777777" w:rsidR="0098530D" w:rsidRPr="00AB7CA1" w:rsidRDefault="0098530D" w:rsidP="0098530D">
      <w:pPr>
        <w:pStyle w:val="Texto"/>
        <w:spacing w:after="96"/>
        <w:ind w:left="3312" w:hanging="576"/>
      </w:pPr>
      <w:r w:rsidRPr="00AB7CA1">
        <w:rPr>
          <w:b/>
        </w:rPr>
        <w:t>II.</w:t>
      </w:r>
      <w:r w:rsidRPr="00AB7CA1">
        <w:tab/>
        <w:t>No presentar la información en los plazos establecidos en dicho ordenamiento;</w:t>
      </w:r>
    </w:p>
    <w:p w14:paraId="07E7B6BC" w14:textId="77777777" w:rsidR="0098530D" w:rsidRPr="00AB7CA1" w:rsidRDefault="0098530D" w:rsidP="0098530D">
      <w:pPr>
        <w:pStyle w:val="Texto"/>
        <w:spacing w:after="96"/>
        <w:ind w:left="3312" w:hanging="576"/>
      </w:pPr>
      <w:r w:rsidRPr="00AB7CA1">
        <w:rPr>
          <w:b/>
        </w:rPr>
        <w:t>III.</w:t>
      </w:r>
      <w:r w:rsidRPr="00AB7CA1">
        <w:tab/>
        <w:t>Presentar la información incompleta o con errores; y,</w:t>
      </w:r>
    </w:p>
    <w:p w14:paraId="5F5A06EA" w14:textId="77777777" w:rsidR="0098530D" w:rsidRPr="00AB7CA1" w:rsidRDefault="0098530D" w:rsidP="0098530D">
      <w:pPr>
        <w:pStyle w:val="Texto"/>
        <w:spacing w:after="96"/>
        <w:ind w:left="2736" w:hanging="1152"/>
      </w:pPr>
      <w:r w:rsidRPr="00AB7CA1">
        <w:tab/>
        <w:t>En consecuencia, cuando los contribuyentes incurran en alguna de las conductas señaladas en las fracciones anteriores, se considera cometida la infracción establecida en el artículo 81, fracción XXVI del Código en comento, sin que sea necesaria la actualización de todas las conductas mencionadas.</w:t>
      </w:r>
    </w:p>
    <w:p w14:paraId="1BC816D4" w14:textId="77777777" w:rsidR="0098530D" w:rsidRPr="00AB7CA1" w:rsidRDefault="0098530D" w:rsidP="0098530D">
      <w:pPr>
        <w:pStyle w:val="Texto"/>
        <w:spacing w:after="96"/>
        <w:ind w:left="2736" w:hanging="1152"/>
      </w:pPr>
      <w:r w:rsidRPr="00AB7CA1">
        <w:tab/>
        <w:t>Por otra parte, el artículo 81, fracción I del CFF prevé como conducta infractora, entre otras, no cumplir los requerimientos de las autoridades fiscales para presentar las declaraciones, las solicitudes, los avisos o las constancias que exijan las disposiciones fiscales.</w:t>
      </w:r>
    </w:p>
    <w:p w14:paraId="662071FE" w14:textId="77777777" w:rsidR="0098530D" w:rsidRPr="00AB7CA1" w:rsidRDefault="0098530D" w:rsidP="0098530D">
      <w:pPr>
        <w:pStyle w:val="Texto"/>
        <w:spacing w:after="96"/>
        <w:ind w:left="2736" w:hanging="1152"/>
      </w:pPr>
      <w:r w:rsidRPr="00AB7CA1">
        <w:tab/>
        <w:t>Por ende, se considera que el incumplimiento a un requerimiento de la autoridad para la presentación de la información prevista en el artículo 32, fracción VIII de la Ley del IVA, constituye una conducta diversa a las señaladas en el artículo 81, fracción XXVI del Código citado, la cual amerita una sanción independiente.</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7D592FE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05C21935" w14:textId="77777777" w:rsidR="0098530D" w:rsidRPr="00AB7CA1" w:rsidRDefault="0098530D" w:rsidP="00552502">
            <w:pPr>
              <w:pStyle w:val="Texto"/>
              <w:spacing w:after="90"/>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024DCA5E" w14:textId="77777777" w:rsidR="0098530D" w:rsidRPr="00AB7CA1" w:rsidRDefault="0098530D" w:rsidP="00552502">
            <w:pPr>
              <w:pStyle w:val="Texto"/>
              <w:spacing w:after="90"/>
              <w:ind w:firstLine="0"/>
              <w:jc w:val="center"/>
              <w:rPr>
                <w:b/>
              </w:rPr>
            </w:pPr>
            <w:r w:rsidRPr="00AB7CA1">
              <w:rPr>
                <w:b/>
              </w:rPr>
              <w:t>Primer antecedente</w:t>
            </w:r>
          </w:p>
        </w:tc>
      </w:tr>
      <w:tr w:rsidR="0098530D" w:rsidRPr="00AB7CA1" w14:paraId="27506995"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18F436D" w14:textId="77777777" w:rsidR="0098530D" w:rsidRPr="00AB7CA1" w:rsidRDefault="0098530D" w:rsidP="00552502">
            <w:pPr>
              <w:pStyle w:val="Texto"/>
              <w:spacing w:after="90"/>
              <w:ind w:firstLine="0"/>
            </w:pPr>
            <w:r w:rsidRPr="00AB7CA1">
              <w:t>2010</w:t>
            </w:r>
          </w:p>
        </w:tc>
        <w:tc>
          <w:tcPr>
            <w:tcW w:w="3237" w:type="pct"/>
            <w:tcBorders>
              <w:top w:val="single" w:sz="6" w:space="0" w:color="auto"/>
              <w:left w:val="single" w:sz="6" w:space="0" w:color="auto"/>
              <w:bottom w:val="single" w:sz="6" w:space="0" w:color="auto"/>
              <w:right w:val="single" w:sz="6" w:space="0" w:color="auto"/>
            </w:tcBorders>
          </w:tcPr>
          <w:p w14:paraId="501A9845" w14:textId="77777777" w:rsidR="0098530D" w:rsidRPr="00AB7CA1" w:rsidRDefault="0098530D" w:rsidP="00552502">
            <w:pPr>
              <w:pStyle w:val="Texto"/>
              <w:spacing w:after="90"/>
              <w:ind w:firstLine="0"/>
            </w:pPr>
            <w:r w:rsidRPr="00AB7CA1">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33/2010/CFF.</w:t>
            </w:r>
          </w:p>
        </w:tc>
      </w:tr>
    </w:tbl>
    <w:p w14:paraId="52EF3CCA" w14:textId="77777777" w:rsidR="0098530D" w:rsidRPr="00AB7CA1" w:rsidRDefault="0098530D" w:rsidP="0098530D">
      <w:pPr>
        <w:pStyle w:val="Texto"/>
        <w:spacing w:after="90"/>
        <w:rPr>
          <w:b/>
        </w:rPr>
      </w:pPr>
    </w:p>
    <w:p w14:paraId="3EFBEC0C" w14:textId="77777777" w:rsidR="0098530D" w:rsidRPr="00AB7CA1" w:rsidRDefault="0098530D" w:rsidP="0098530D">
      <w:pPr>
        <w:pStyle w:val="Texto"/>
        <w:spacing w:after="90"/>
        <w:ind w:left="2736" w:hanging="1152"/>
        <w:rPr>
          <w:b/>
        </w:rPr>
      </w:pPr>
      <w:r w:rsidRPr="00AB7CA1">
        <w:rPr>
          <w:b/>
        </w:rPr>
        <w:t>18/CFF/N</w:t>
      </w:r>
      <w:r w:rsidRPr="00AB7CA1">
        <w:rPr>
          <w:b/>
        </w:rPr>
        <w:tab/>
        <w:t>Recursos administrativos. Formulario múltiple de pago, cartas invitación o citatorio. No son resoluciones que afecten el interés jurídico de los contribuyentes.</w:t>
      </w:r>
    </w:p>
    <w:p w14:paraId="619B59F4" w14:textId="77777777" w:rsidR="0098530D" w:rsidRPr="00AB7CA1" w:rsidRDefault="0098530D" w:rsidP="0098530D">
      <w:pPr>
        <w:pStyle w:val="Texto"/>
        <w:spacing w:after="90"/>
        <w:ind w:left="2736" w:hanging="1152"/>
      </w:pPr>
      <w:r w:rsidRPr="00AB7CA1">
        <w:rPr>
          <w:b/>
        </w:rPr>
        <w:lastRenderedPageBreak/>
        <w:tab/>
      </w:r>
      <w:r w:rsidRPr="00AB7CA1">
        <w:t>El artículo 117, fracción I, inciso d) del CFF establece que el recurso de revocación procede, entre otros supuestos, contra resoluciones definitivas dictadas por las autoridades fiscales que causen agravio al particular en materia fiscal.</w:t>
      </w:r>
    </w:p>
    <w:p w14:paraId="1FD6DE6D" w14:textId="77777777" w:rsidR="0098530D" w:rsidRPr="00AB7CA1" w:rsidRDefault="0098530D" w:rsidP="0098530D">
      <w:pPr>
        <w:pStyle w:val="Texto"/>
        <w:spacing w:after="90"/>
        <w:ind w:left="2736" w:hanging="1152"/>
      </w:pPr>
      <w:r w:rsidRPr="00AB7CA1">
        <w:tab/>
        <w:t>Los formularios múltiples de pago, las cartas invitación y los citatorios no son resoluciones que se ubiquen dentro de los supuestos de procedencia del recurso de revocación establecidos en el mencionado artículo, ya que no afectan el interés jurídico de los contribuyentes y no constituyen resoluciones definitivas que pongan fin a un procedimiento, por lo tanto, la resolución que se emita, desechará por improcedente el recurso.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37574B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111FCDF2" w14:textId="77777777" w:rsidR="0098530D" w:rsidRPr="00AB7CA1" w:rsidRDefault="0098530D" w:rsidP="00552502">
            <w:pPr>
              <w:pStyle w:val="Texto"/>
              <w:spacing w:after="90"/>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0C2C884C" w14:textId="77777777" w:rsidR="0098530D" w:rsidRPr="00AB7CA1" w:rsidRDefault="0098530D" w:rsidP="00552502">
            <w:pPr>
              <w:pStyle w:val="Texto"/>
              <w:spacing w:after="90"/>
              <w:ind w:firstLine="0"/>
              <w:jc w:val="center"/>
              <w:rPr>
                <w:b/>
              </w:rPr>
            </w:pPr>
            <w:r w:rsidRPr="00AB7CA1">
              <w:rPr>
                <w:b/>
              </w:rPr>
              <w:t>Primer antecedente</w:t>
            </w:r>
          </w:p>
        </w:tc>
      </w:tr>
      <w:tr w:rsidR="0098530D" w:rsidRPr="00AB7CA1" w14:paraId="52C0AB1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C0C9282" w14:textId="77777777" w:rsidR="0098530D" w:rsidRPr="00AB7CA1" w:rsidRDefault="0098530D" w:rsidP="00552502">
            <w:pPr>
              <w:pStyle w:val="Texto"/>
              <w:spacing w:after="90"/>
              <w:ind w:firstLine="0"/>
            </w:pPr>
            <w:r w:rsidRPr="00AB7CA1">
              <w:t>8/2001/CFF</w:t>
            </w:r>
          </w:p>
        </w:tc>
        <w:tc>
          <w:tcPr>
            <w:tcW w:w="3237" w:type="pct"/>
            <w:tcBorders>
              <w:top w:val="single" w:sz="6" w:space="0" w:color="auto"/>
              <w:left w:val="single" w:sz="6" w:space="0" w:color="auto"/>
              <w:bottom w:val="single" w:sz="6" w:space="0" w:color="auto"/>
              <w:right w:val="single" w:sz="6" w:space="0" w:color="auto"/>
            </w:tcBorders>
          </w:tcPr>
          <w:p w14:paraId="395D7E3D" w14:textId="77777777" w:rsidR="0098530D" w:rsidRPr="00AB7CA1" w:rsidRDefault="0098530D" w:rsidP="00552502">
            <w:pPr>
              <w:pStyle w:val="Texto"/>
              <w:spacing w:after="90"/>
              <w:ind w:firstLine="0"/>
            </w:pPr>
            <w:r w:rsidRPr="00AB7CA1">
              <w:t xml:space="preserve">Oficio 325-SAT-A-31123 de 14 de septiembre de 2001, mediante el cual se da a conocer la nueva Compilación de Criterios Normativos 2001. </w:t>
            </w:r>
          </w:p>
        </w:tc>
      </w:tr>
    </w:tbl>
    <w:p w14:paraId="4471B09C" w14:textId="77777777" w:rsidR="0098530D" w:rsidRPr="00AB7CA1" w:rsidRDefault="0098530D" w:rsidP="0098530D">
      <w:pPr>
        <w:pStyle w:val="Texto"/>
        <w:spacing w:after="90"/>
        <w:rPr>
          <w:b/>
        </w:rPr>
      </w:pPr>
    </w:p>
    <w:p w14:paraId="58911D2C" w14:textId="77777777" w:rsidR="0098530D" w:rsidRPr="00AB7CA1" w:rsidRDefault="0098530D" w:rsidP="0098530D">
      <w:pPr>
        <w:pStyle w:val="Texto"/>
        <w:spacing w:after="90"/>
        <w:ind w:left="2736" w:hanging="1152"/>
        <w:rPr>
          <w:b/>
        </w:rPr>
      </w:pPr>
      <w:r w:rsidRPr="00AB7CA1">
        <w:rPr>
          <w:b/>
        </w:rPr>
        <w:t>19/CFF/N</w:t>
      </w:r>
      <w:r w:rsidRPr="00AB7CA1">
        <w:rPr>
          <w:b/>
        </w:rPr>
        <w:tab/>
        <w:t>Remoción del depositario. El recurso de revocación es improcedente.</w:t>
      </w:r>
    </w:p>
    <w:p w14:paraId="52190C48" w14:textId="77777777" w:rsidR="0098530D" w:rsidRPr="00AB7CA1" w:rsidRDefault="0098530D" w:rsidP="0098530D">
      <w:pPr>
        <w:pStyle w:val="Texto"/>
        <w:spacing w:after="90"/>
        <w:ind w:left="2736" w:hanging="1152"/>
      </w:pPr>
      <w:r w:rsidRPr="00AB7CA1">
        <w:rPr>
          <w:b/>
        </w:rPr>
        <w:tab/>
      </w:r>
      <w:r w:rsidRPr="00AB7CA1">
        <w:t>El artículo 117, fracción I, inciso d) del CFF establece que el recurso de revocación procede, entre otros supuestos, contra resoluciones definitivas dictadas por las autoridades fiscales que causen agravio al particular en materia fiscal.</w:t>
      </w:r>
    </w:p>
    <w:p w14:paraId="25F90431" w14:textId="77777777" w:rsidR="0098530D" w:rsidRPr="00AB7CA1" w:rsidRDefault="0098530D" w:rsidP="0098530D">
      <w:pPr>
        <w:pStyle w:val="Texto"/>
        <w:spacing w:after="90"/>
        <w:ind w:left="2736" w:hanging="1152"/>
      </w:pPr>
      <w:r w:rsidRPr="00AB7CA1">
        <w:tab/>
        <w:t>El artículo 153 del Código en mención, señala que los jefes de las oficinas ejecutoras, bajo su responsabilidad, nombrarán y removerán libremente a los depositarios, por lo que una vez asumido el cargo, el depositario funge como guardia de los bienes embargados y, en consecuencia, la remoción del mismo no afecta su interés jurídico.</w:t>
      </w:r>
    </w:p>
    <w:p w14:paraId="5D22A411" w14:textId="77777777" w:rsidR="0098530D" w:rsidRPr="00AB7CA1" w:rsidRDefault="0098530D" w:rsidP="0098530D">
      <w:pPr>
        <w:pStyle w:val="Texto"/>
        <w:spacing w:after="90"/>
        <w:ind w:left="2736" w:hanging="1152"/>
      </w:pPr>
      <w:r w:rsidRPr="00AB7CA1">
        <w:tab/>
        <w:t>Por lo anterior, la impugnación del acto consistente en la revocación del cargo de depositario o del interventor es improcedente, ya que se encuentra dentro de las facultades discrecionales de la autoridad el removerlos libremente y dicho acto no implica una afectación al interés jurídico del depositario o del interventor, por lo tanto, no es una resolución que cause un agravio por la cual proceda la interposición del recurso de revocación.</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A2C038C"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14FCF8F8" w14:textId="77777777" w:rsidR="0098530D" w:rsidRPr="00AB7CA1" w:rsidRDefault="0098530D" w:rsidP="00552502">
            <w:pPr>
              <w:pStyle w:val="Texto"/>
              <w:spacing w:after="90"/>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47E7FEEF" w14:textId="77777777" w:rsidR="0098530D" w:rsidRPr="00AB7CA1" w:rsidRDefault="0098530D" w:rsidP="00552502">
            <w:pPr>
              <w:pStyle w:val="Texto"/>
              <w:spacing w:after="90"/>
              <w:ind w:firstLine="0"/>
              <w:jc w:val="center"/>
              <w:rPr>
                <w:b/>
              </w:rPr>
            </w:pPr>
            <w:r w:rsidRPr="00AB7CA1">
              <w:rPr>
                <w:b/>
              </w:rPr>
              <w:t>Primer antecedente</w:t>
            </w:r>
          </w:p>
        </w:tc>
      </w:tr>
      <w:tr w:rsidR="0098530D" w:rsidRPr="00AB7CA1" w14:paraId="104AB21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590DAD6" w14:textId="77777777" w:rsidR="0098530D" w:rsidRPr="00AB7CA1" w:rsidRDefault="0098530D" w:rsidP="00552502">
            <w:pPr>
              <w:pStyle w:val="Texto"/>
              <w:spacing w:after="90"/>
              <w:ind w:firstLine="0"/>
            </w:pPr>
            <w:r w:rsidRPr="00AB7CA1">
              <w:t>60/2002/CFF</w:t>
            </w:r>
          </w:p>
        </w:tc>
        <w:tc>
          <w:tcPr>
            <w:tcW w:w="3237" w:type="pct"/>
            <w:tcBorders>
              <w:top w:val="single" w:sz="6" w:space="0" w:color="auto"/>
              <w:left w:val="single" w:sz="6" w:space="0" w:color="auto"/>
              <w:bottom w:val="single" w:sz="6" w:space="0" w:color="auto"/>
              <w:right w:val="single" w:sz="6" w:space="0" w:color="auto"/>
            </w:tcBorders>
          </w:tcPr>
          <w:p w14:paraId="512840CC" w14:textId="77777777" w:rsidR="0098530D" w:rsidRPr="00AB7CA1" w:rsidRDefault="0098530D" w:rsidP="00552502">
            <w:pPr>
              <w:pStyle w:val="Texto"/>
              <w:spacing w:after="90"/>
              <w:ind w:firstLine="0"/>
            </w:pPr>
            <w:r w:rsidRPr="00AB7CA1">
              <w:t>Oficio 325-SAT-IV-B-75015 de 16 de diciembre de 2002.</w:t>
            </w:r>
          </w:p>
        </w:tc>
      </w:tr>
    </w:tbl>
    <w:p w14:paraId="1C9F1059" w14:textId="77777777" w:rsidR="0098530D" w:rsidRPr="00AB7CA1" w:rsidRDefault="0098530D" w:rsidP="0098530D">
      <w:pPr>
        <w:pStyle w:val="Texto"/>
        <w:spacing w:after="90"/>
        <w:rPr>
          <w:b/>
        </w:rPr>
      </w:pPr>
    </w:p>
    <w:p w14:paraId="1D42E0B4" w14:textId="77777777" w:rsidR="0098530D" w:rsidRPr="00AB7CA1" w:rsidRDefault="0098530D" w:rsidP="0098530D">
      <w:pPr>
        <w:pStyle w:val="Texto"/>
        <w:spacing w:after="90"/>
        <w:ind w:left="2736" w:hanging="1152"/>
        <w:rPr>
          <w:b/>
        </w:rPr>
      </w:pPr>
      <w:r w:rsidRPr="00AB7CA1">
        <w:rPr>
          <w:b/>
        </w:rPr>
        <w:t>20/CFF/N</w:t>
      </w:r>
      <w:r w:rsidRPr="00AB7CA1">
        <w:rPr>
          <w:b/>
        </w:rPr>
        <w:tab/>
        <w:t>Notificación por correo certificado. Para su validez debe estarse a lo señalado en la Ley del Servicio Postal Mexicano.</w:t>
      </w:r>
    </w:p>
    <w:p w14:paraId="29B31FFA" w14:textId="77777777" w:rsidR="0098530D" w:rsidRPr="00AB7CA1" w:rsidRDefault="0098530D" w:rsidP="0098530D">
      <w:pPr>
        <w:pStyle w:val="Texto"/>
        <w:spacing w:after="90"/>
        <w:ind w:left="2736" w:hanging="1152"/>
      </w:pPr>
      <w:r w:rsidRPr="00AB7CA1">
        <w:rPr>
          <w:b/>
        </w:rPr>
        <w:tab/>
      </w:r>
      <w:r w:rsidRPr="00AB7CA1">
        <w:t>El artículo 134, fracción I del CFF establece, entre otras posibilidades, que la notificación de actos administrativos puede efectuarse por correo certificado con acuse de recibo, sin embargo, no existe dentro de la legislación fiscal alguna regulación para efectuar este tipo de notificaciones.</w:t>
      </w:r>
    </w:p>
    <w:p w14:paraId="57DE7157" w14:textId="77777777" w:rsidR="0098530D" w:rsidRPr="00AB7CA1" w:rsidRDefault="0098530D" w:rsidP="0098530D">
      <w:pPr>
        <w:pStyle w:val="Texto"/>
        <w:spacing w:after="80" w:line="209" w:lineRule="exact"/>
        <w:ind w:left="2736" w:hanging="1152"/>
      </w:pPr>
      <w:r w:rsidRPr="00AB7CA1">
        <w:tab/>
        <w:t>En relación con lo anterior, el artículo 42 de la Ley del Servicio Postal Mexicano de aplicación supletoria en los términos del artículo 5o. del Código en comento, establece que el servicio de acuse de envíos o de correspondencia registrados consiste en recabar en un documento especial la firma de recepción del destinatario o de su representante legal.</w:t>
      </w:r>
    </w:p>
    <w:p w14:paraId="0BAF074D" w14:textId="77777777" w:rsidR="0098530D" w:rsidRPr="00AB7CA1" w:rsidRDefault="0098530D" w:rsidP="0098530D">
      <w:pPr>
        <w:pStyle w:val="Texto"/>
        <w:spacing w:after="80" w:line="209" w:lineRule="exact"/>
        <w:ind w:left="2736" w:hanging="1152"/>
      </w:pPr>
      <w:r w:rsidRPr="00AB7CA1">
        <w:tab/>
        <w:t xml:space="preserve">Tratándose de personas morales, bastará con que cuenten con oficina de recepción y distribución de la correspondencia, oficialía de partes u oficina de correspondencia, para considerar satisfecho el requisito mencionado en el párrafo precedente, cuando en el acuse de recibo se coloque el sello de recibido que para este fin utilizan los contribuyentes, ya que la existencia de tales departamentos de dichas personas morales, presupone la autorización </w:t>
      </w:r>
      <w:r w:rsidRPr="00AB7CA1">
        <w:lastRenderedPageBreak/>
        <w:t>legal que se les otorga a los empleados de los citados departamentos para recibir la correspondencia.</w:t>
      </w:r>
    </w:p>
    <w:p w14:paraId="54B7CFA4" w14:textId="77777777" w:rsidR="0098530D" w:rsidRPr="00AB7CA1" w:rsidRDefault="0098530D" w:rsidP="0098530D">
      <w:pPr>
        <w:pStyle w:val="Texto"/>
        <w:spacing w:after="80" w:line="209" w:lineRule="exact"/>
        <w:ind w:left="2736" w:hanging="1152"/>
      </w:pPr>
      <w:r w:rsidRPr="00AB7CA1">
        <w:tab/>
        <w:t>En efecto, deben estimarse correctas las notificaciones fiscales remitidas por correo certificado a personas morales, públicas o privadas, si se entregan en la respectiva oficialía de partes u oficina de correspondencia, y se acredita con los sellos correspondientes, ya que la existencia de tales departamentos de dichas personas morales, presupone la autorización legal que se les otorga a los empleados de los citados departamentos para recibir la correspondencia.</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69C5114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AA5A909" w14:textId="77777777" w:rsidR="0098530D" w:rsidRPr="00AB7CA1" w:rsidRDefault="0098530D" w:rsidP="00552502">
            <w:pPr>
              <w:pStyle w:val="Texto"/>
              <w:spacing w:after="80" w:line="209"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0528BAC" w14:textId="77777777" w:rsidR="0098530D" w:rsidRPr="00AB7CA1" w:rsidRDefault="0098530D" w:rsidP="00552502">
            <w:pPr>
              <w:pStyle w:val="Texto"/>
              <w:spacing w:after="80" w:line="209" w:lineRule="exact"/>
              <w:ind w:firstLine="0"/>
              <w:jc w:val="center"/>
              <w:rPr>
                <w:b/>
              </w:rPr>
            </w:pPr>
            <w:r w:rsidRPr="00AB7CA1">
              <w:rPr>
                <w:b/>
              </w:rPr>
              <w:t>Primer antecedente</w:t>
            </w:r>
          </w:p>
        </w:tc>
      </w:tr>
      <w:tr w:rsidR="0098530D" w:rsidRPr="00AB7CA1" w14:paraId="342A1A4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835FD02" w14:textId="77777777" w:rsidR="0098530D" w:rsidRPr="00AB7CA1" w:rsidRDefault="0098530D" w:rsidP="00552502">
            <w:pPr>
              <w:pStyle w:val="Texto"/>
              <w:spacing w:after="80" w:line="209" w:lineRule="exact"/>
              <w:ind w:firstLine="0"/>
            </w:pPr>
            <w:r w:rsidRPr="00AB7CA1">
              <w:t>2/2002/CFF</w:t>
            </w:r>
          </w:p>
        </w:tc>
        <w:tc>
          <w:tcPr>
            <w:tcW w:w="3237" w:type="pct"/>
            <w:tcBorders>
              <w:top w:val="single" w:sz="6" w:space="0" w:color="auto"/>
              <w:left w:val="single" w:sz="6" w:space="0" w:color="auto"/>
              <w:bottom w:val="single" w:sz="6" w:space="0" w:color="auto"/>
              <w:right w:val="single" w:sz="6" w:space="0" w:color="auto"/>
            </w:tcBorders>
          </w:tcPr>
          <w:p w14:paraId="5A38127D" w14:textId="77777777" w:rsidR="0098530D" w:rsidRPr="00AB7CA1" w:rsidRDefault="0098530D" w:rsidP="00552502">
            <w:pPr>
              <w:pStyle w:val="Texto"/>
              <w:spacing w:after="80" w:line="209" w:lineRule="exact"/>
              <w:ind w:firstLine="0"/>
            </w:pPr>
            <w:r w:rsidRPr="00AB7CA1">
              <w:t>Oficio 325-SAT-A-31676 de 24 de mayo de 2002.</w:t>
            </w:r>
          </w:p>
        </w:tc>
      </w:tr>
    </w:tbl>
    <w:p w14:paraId="4E3FF475" w14:textId="77777777" w:rsidR="0098530D" w:rsidRPr="00AB7CA1" w:rsidRDefault="0098530D" w:rsidP="0098530D">
      <w:pPr>
        <w:pStyle w:val="Texto"/>
        <w:spacing w:after="80" w:line="209" w:lineRule="exact"/>
        <w:ind w:left="2736" w:hanging="1152"/>
        <w:rPr>
          <w:b/>
        </w:rPr>
      </w:pPr>
    </w:p>
    <w:p w14:paraId="06920958" w14:textId="77777777" w:rsidR="0098530D" w:rsidRPr="00AB7CA1" w:rsidRDefault="0098530D" w:rsidP="0098530D">
      <w:pPr>
        <w:pStyle w:val="Texto"/>
        <w:spacing w:after="80" w:line="209" w:lineRule="exact"/>
        <w:ind w:left="2736" w:hanging="1152"/>
      </w:pPr>
      <w:r w:rsidRPr="00AB7CA1">
        <w:rPr>
          <w:b/>
        </w:rPr>
        <w:t>21/CFF/N</w:t>
      </w:r>
      <w:r w:rsidRPr="00AB7CA1">
        <w:rPr>
          <w:b/>
        </w:rPr>
        <w:tab/>
        <w:t>Notificación en los términos del artículo 134, fracción I del CFF. Establece tres medios alternativos entre sí</w:t>
      </w:r>
      <w:r w:rsidRPr="00AB7CA1">
        <w:t>.</w:t>
      </w:r>
    </w:p>
    <w:p w14:paraId="2B7D2A78" w14:textId="77777777" w:rsidR="0098530D" w:rsidRPr="00AB7CA1" w:rsidRDefault="0098530D" w:rsidP="0098530D">
      <w:pPr>
        <w:pStyle w:val="Texto"/>
        <w:spacing w:after="80" w:line="209" w:lineRule="exact"/>
        <w:ind w:left="2736" w:hanging="1152"/>
      </w:pPr>
      <w:r w:rsidRPr="00AB7CA1">
        <w:tab/>
        <w:t>El artículo 134, fracción I del CFF dispone que la notificación de citatorios, requerimientos, solicitudes de informes o documentos y de actos administrativos que puedan ser recurridos, se hará personalmente o por correo certificado o mensaje de datos con acuse de recibo en el buzón tributario, es decir, el citado precepto contempla tres medios de notificación alternativos entre sí; en ese sentido, en diversos artículos del CFF se señala indistintamente a la notificación personal, por correo certificado o al buzón tributario como los medios para realizar la notificación de determinados actos administrativos y en otros artículos señala un solo medio de notificación.</w:t>
      </w:r>
    </w:p>
    <w:p w14:paraId="7BD30B97" w14:textId="77777777" w:rsidR="0098530D" w:rsidRPr="00AB7CA1" w:rsidRDefault="0098530D" w:rsidP="0098530D">
      <w:pPr>
        <w:pStyle w:val="Texto"/>
        <w:spacing w:after="80" w:line="209" w:lineRule="exact"/>
        <w:ind w:left="2736" w:hanging="1152"/>
      </w:pPr>
      <w:r w:rsidRPr="00AB7CA1">
        <w:tab/>
        <w:t>De conformidad con la doctrina y los criterios emitidos por el Poder Judicial de la Federación, una notificación es un acto ajeno e independiente del acto administrativo que por su conducto se da a conocer; su esencia jurídica es garantizar que el contribuyente tenga noticia del acto que se pretende notificar para que esté en condiciones de dar oportuna respuesta en defensa de sus intereses.</w:t>
      </w:r>
    </w:p>
    <w:p w14:paraId="6A70A36D" w14:textId="77777777" w:rsidR="0098530D" w:rsidRPr="00AB7CA1" w:rsidRDefault="0098530D" w:rsidP="0098530D">
      <w:pPr>
        <w:pStyle w:val="Texto"/>
        <w:spacing w:after="80" w:line="209" w:lineRule="exact"/>
        <w:ind w:left="2736" w:hanging="1152"/>
      </w:pPr>
      <w:r w:rsidRPr="00AB7CA1">
        <w:tab/>
        <w:t>Así, considerando que la notificación personal, por correo certificado o la que se realice a través del buzón tributario tienen como consecuencia dar a conocer el acto administrativo al contribuyente de manera fehaciente, se concluye que las autoridades fiscales podrán llevar a cabo la notificación de una u otra forma, con independencia del tipo de notificación que prevea para cada caso el CFF, siempre y cuando la misma se entienda con el contribuyente o su representante legal, tratándose de notificación personal, o bien, se genere el acuse de recibo, en el caso de notificación vía buzón tributario.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C332D2C"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7E3A8B4C" w14:textId="77777777" w:rsidR="0098530D" w:rsidRPr="00AB7CA1" w:rsidRDefault="0098530D" w:rsidP="00552502">
            <w:pPr>
              <w:pStyle w:val="Texto"/>
              <w:spacing w:after="80" w:line="209"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6FEE8BC" w14:textId="77777777" w:rsidR="0098530D" w:rsidRPr="00AB7CA1" w:rsidRDefault="0098530D" w:rsidP="00552502">
            <w:pPr>
              <w:pStyle w:val="Texto"/>
              <w:spacing w:after="80" w:line="209" w:lineRule="exact"/>
              <w:ind w:firstLine="0"/>
              <w:jc w:val="center"/>
              <w:rPr>
                <w:b/>
              </w:rPr>
            </w:pPr>
            <w:r w:rsidRPr="00AB7CA1">
              <w:rPr>
                <w:b/>
              </w:rPr>
              <w:t>Primer antecedente</w:t>
            </w:r>
          </w:p>
        </w:tc>
      </w:tr>
      <w:tr w:rsidR="0098530D" w:rsidRPr="00AB7CA1" w14:paraId="57E8412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2589F4A" w14:textId="77777777" w:rsidR="0098530D" w:rsidRPr="00AB7CA1" w:rsidRDefault="0098530D" w:rsidP="00552502">
            <w:pPr>
              <w:pStyle w:val="Texto"/>
              <w:spacing w:after="80" w:line="209" w:lineRule="exact"/>
              <w:ind w:firstLine="0"/>
            </w:pPr>
            <w:r w:rsidRPr="00AB7CA1">
              <w:t>2014</w:t>
            </w:r>
          </w:p>
        </w:tc>
        <w:tc>
          <w:tcPr>
            <w:tcW w:w="3237" w:type="pct"/>
            <w:tcBorders>
              <w:top w:val="single" w:sz="6" w:space="0" w:color="auto"/>
              <w:left w:val="single" w:sz="6" w:space="0" w:color="auto"/>
              <w:bottom w:val="single" w:sz="6" w:space="0" w:color="auto"/>
              <w:right w:val="single" w:sz="6" w:space="0" w:color="auto"/>
            </w:tcBorders>
          </w:tcPr>
          <w:p w14:paraId="4CE3BD76" w14:textId="77777777" w:rsidR="0098530D" w:rsidRPr="00AB7CA1" w:rsidRDefault="0098530D" w:rsidP="00552502">
            <w:pPr>
              <w:pStyle w:val="Texto"/>
              <w:spacing w:after="80" w:line="209" w:lineRule="exact"/>
              <w:ind w:firstLine="0"/>
            </w:pPr>
            <w:r w:rsidRPr="00AB7CA1">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23/2014/CFF.</w:t>
            </w:r>
          </w:p>
        </w:tc>
      </w:tr>
    </w:tbl>
    <w:p w14:paraId="0417E3CA" w14:textId="77777777" w:rsidR="0098530D" w:rsidRPr="00AB7CA1" w:rsidRDefault="0098530D" w:rsidP="0098530D">
      <w:pPr>
        <w:pStyle w:val="Texto"/>
        <w:spacing w:after="86"/>
        <w:ind w:left="2736" w:hanging="1152"/>
        <w:rPr>
          <w:b/>
        </w:rPr>
      </w:pPr>
      <w:r w:rsidRPr="00AB7CA1">
        <w:rPr>
          <w:b/>
        </w:rPr>
        <w:t>22/CFF/N</w:t>
      </w:r>
      <w:r w:rsidRPr="00AB7CA1">
        <w:rPr>
          <w:b/>
        </w:rPr>
        <w:tab/>
        <w:t>Embargo en la vía administrativa. No es necesario volver a embargar el bien.</w:t>
      </w:r>
    </w:p>
    <w:p w14:paraId="238A6A77" w14:textId="77777777" w:rsidR="0098530D" w:rsidRPr="00AB7CA1" w:rsidRDefault="0098530D" w:rsidP="0098530D">
      <w:pPr>
        <w:pStyle w:val="Texto"/>
        <w:spacing w:after="86"/>
        <w:ind w:left="2736" w:hanging="1152"/>
      </w:pPr>
      <w:r w:rsidRPr="00AB7CA1">
        <w:rPr>
          <w:b/>
        </w:rPr>
        <w:tab/>
      </w:r>
      <w:r w:rsidRPr="00AB7CA1">
        <w:t>El artículo 141, fracción V del CFF señala que los contribuyentes podrán garantizar el interés fiscal mediante el embargo en la vía administrativa.</w:t>
      </w:r>
    </w:p>
    <w:p w14:paraId="102325E9" w14:textId="77777777" w:rsidR="0098530D" w:rsidRPr="00AB7CA1" w:rsidRDefault="0098530D" w:rsidP="0098530D">
      <w:pPr>
        <w:pStyle w:val="Texto"/>
        <w:spacing w:after="86"/>
        <w:ind w:left="2736" w:hanging="1152"/>
      </w:pPr>
      <w:r w:rsidRPr="00AB7CA1">
        <w:tab/>
        <w:t>El artículo 143 del Código en comento, establece que las garantías constituidas para asegurar el interés fiscal a que se refiere el artículo 141 fracciones II, IV y V del mismo ordenamiento legal, se harán efectivas a través del procedimiento administrativo de ejecución.</w:t>
      </w:r>
    </w:p>
    <w:p w14:paraId="2F72047B" w14:textId="77777777" w:rsidR="0098530D" w:rsidRPr="00AB7CA1" w:rsidRDefault="0098530D" w:rsidP="0098530D">
      <w:pPr>
        <w:pStyle w:val="Texto"/>
        <w:spacing w:after="86"/>
        <w:ind w:left="2736" w:hanging="1152"/>
      </w:pPr>
      <w:r w:rsidRPr="00AB7CA1">
        <w:lastRenderedPageBreak/>
        <w:tab/>
        <w:t>En este sentido, de la interpretación armónica a los preceptos en cita, en los casos en que se embargue un bien en la vía administrativa, al momento de hacer efectiva la garantía del interés fiscal a través del procedimiento administrativo de ejecución, no será necesario volver a embargar dichos bienes debido a que se encuentran formalmente embargados y en depósito del contribuyente o de su representante legal, por lo que procederá continuar con el procedimiento administrativo de ejecución.</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7570426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4422BC4C" w14:textId="77777777" w:rsidR="0098530D" w:rsidRPr="00AB7CA1" w:rsidRDefault="0098530D" w:rsidP="00552502">
            <w:pPr>
              <w:pStyle w:val="Texto"/>
              <w:spacing w:after="86"/>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039E92BE" w14:textId="77777777" w:rsidR="0098530D" w:rsidRPr="00AB7CA1" w:rsidRDefault="0098530D" w:rsidP="00552502">
            <w:pPr>
              <w:pStyle w:val="Texto"/>
              <w:spacing w:after="86"/>
              <w:ind w:firstLine="0"/>
              <w:jc w:val="center"/>
              <w:rPr>
                <w:b/>
              </w:rPr>
            </w:pPr>
            <w:r w:rsidRPr="00AB7CA1">
              <w:rPr>
                <w:b/>
              </w:rPr>
              <w:t>Primer antecedente</w:t>
            </w:r>
          </w:p>
        </w:tc>
      </w:tr>
      <w:tr w:rsidR="0098530D" w:rsidRPr="00AB7CA1" w14:paraId="43DAFC4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EB0A99B" w14:textId="77777777" w:rsidR="0098530D" w:rsidRPr="00AB7CA1" w:rsidRDefault="0098530D" w:rsidP="00552502">
            <w:pPr>
              <w:pStyle w:val="Texto"/>
              <w:spacing w:after="86"/>
              <w:ind w:firstLine="0"/>
            </w:pPr>
            <w:r w:rsidRPr="00AB7CA1">
              <w:t>41/2004/CFF</w:t>
            </w:r>
          </w:p>
        </w:tc>
        <w:tc>
          <w:tcPr>
            <w:tcW w:w="3237" w:type="pct"/>
            <w:tcBorders>
              <w:top w:val="single" w:sz="6" w:space="0" w:color="auto"/>
              <w:left w:val="single" w:sz="6" w:space="0" w:color="auto"/>
              <w:bottom w:val="single" w:sz="6" w:space="0" w:color="auto"/>
              <w:right w:val="single" w:sz="6" w:space="0" w:color="auto"/>
            </w:tcBorders>
          </w:tcPr>
          <w:p w14:paraId="0A679C11" w14:textId="77777777" w:rsidR="0098530D" w:rsidRPr="00AB7CA1" w:rsidRDefault="0098530D" w:rsidP="00552502">
            <w:pPr>
              <w:pStyle w:val="Texto"/>
              <w:spacing w:after="86"/>
              <w:ind w:firstLine="0"/>
            </w:pPr>
            <w:r w:rsidRPr="00AB7CA1">
              <w:t>Oficio 325-SAT-IV-B-91597 de 31 de agosto de 2004, mediante el cual se emite la liberación de la primera parte del Boletín 2004.</w:t>
            </w:r>
          </w:p>
        </w:tc>
      </w:tr>
    </w:tbl>
    <w:p w14:paraId="430D5AA1" w14:textId="77777777" w:rsidR="0098530D" w:rsidRPr="00AB7CA1" w:rsidRDefault="0098530D" w:rsidP="0098530D">
      <w:pPr>
        <w:pStyle w:val="Texto"/>
        <w:spacing w:after="86"/>
        <w:ind w:left="2736" w:hanging="1152"/>
        <w:rPr>
          <w:b/>
        </w:rPr>
      </w:pPr>
    </w:p>
    <w:p w14:paraId="725AB1B8" w14:textId="77777777" w:rsidR="0098530D" w:rsidRPr="00AB7CA1" w:rsidRDefault="0098530D" w:rsidP="0098530D">
      <w:pPr>
        <w:pStyle w:val="Texto"/>
        <w:spacing w:after="86"/>
        <w:ind w:left="2736" w:hanging="1152"/>
        <w:rPr>
          <w:b/>
        </w:rPr>
      </w:pPr>
      <w:r w:rsidRPr="00AB7CA1">
        <w:rPr>
          <w:b/>
        </w:rPr>
        <w:t>23/CFF/N</w:t>
      </w:r>
      <w:r w:rsidRPr="00AB7CA1">
        <w:rPr>
          <w:b/>
        </w:rPr>
        <w:tab/>
        <w:t>Suspensión del plazo de caducidad derivado de la interposición de un recurso administrativo o juicio.</w:t>
      </w:r>
    </w:p>
    <w:p w14:paraId="1C60DAE1" w14:textId="77777777" w:rsidR="0098530D" w:rsidRPr="00AB7CA1" w:rsidRDefault="0098530D" w:rsidP="0098530D">
      <w:pPr>
        <w:pStyle w:val="Texto"/>
        <w:spacing w:after="86"/>
        <w:ind w:left="2736" w:hanging="1152"/>
      </w:pPr>
      <w:r w:rsidRPr="00AB7CA1">
        <w:rPr>
          <w:b/>
        </w:rPr>
        <w:tab/>
      </w:r>
      <w:r w:rsidRPr="00AB7CA1">
        <w:t>El artículo 67, primer párrafo del CFF señala que las facultades de las autoridades fiscales para determinar las contribuciones o aprovechamientos omitidos y sus accesorios, así como para imponer sanciones por infracciones a las disposiciones fiscales, se extinguen en el plazo de cinco años.</w:t>
      </w:r>
    </w:p>
    <w:p w14:paraId="4AB9A71B" w14:textId="77777777" w:rsidR="0098530D" w:rsidRPr="00AB7CA1" w:rsidRDefault="0098530D" w:rsidP="0098530D">
      <w:pPr>
        <w:pStyle w:val="Texto"/>
        <w:spacing w:after="86"/>
        <w:ind w:left="2736" w:hanging="1152"/>
      </w:pPr>
      <w:r w:rsidRPr="00AB7CA1">
        <w:tab/>
        <w:t>Por su parte, el cuarto párrafo del mencionado artículo establece que dicho plazo no está sujeto a interrupción y sólo se suspenderá en determinados supuestos, entre los cuales se encuentra la interposición de algún recurso administrativo o juicio.</w:t>
      </w:r>
    </w:p>
    <w:p w14:paraId="4F4C8795" w14:textId="77777777" w:rsidR="0098530D" w:rsidRPr="00AB7CA1" w:rsidRDefault="0098530D" w:rsidP="0098530D">
      <w:pPr>
        <w:pStyle w:val="Texto"/>
        <w:spacing w:after="86"/>
        <w:ind w:left="2736" w:hanging="1152"/>
      </w:pPr>
      <w:r w:rsidRPr="00AB7CA1">
        <w:tab/>
        <w:t>En consecuencia, la suspensión con motivo de la interposición de algún recurso administrativo o juicio a que se refiere el artículo 67, cuarto párrafo del citado CFF, se actualiza con la interposición de medios de defensa en contra de actos emitidos por autoridades fiscales, y no así en contra de actos emitidos por autoridades distintas a estas actuando en materias diversas a las fiscales.</w:t>
      </w:r>
    </w:p>
    <w:p w14:paraId="45FA31A0" w14:textId="77777777" w:rsidR="0098530D" w:rsidRDefault="0098530D" w:rsidP="0098530D">
      <w:pPr>
        <w:pStyle w:val="Texto"/>
        <w:spacing w:after="86"/>
        <w:ind w:left="2736" w:hanging="1152"/>
      </w:pPr>
      <w:r w:rsidRPr="00AB7CA1">
        <w:tab/>
        <w:t>Tratándose de la suspensión derivada de la interposición de algún recurso administrativo o juicio, el periodo por el que se suspende dicho plazo inicia con la presentación del medio de defensa de que se trate y concluye hasta que recaiga una resolución definitiva o sentencia ejecutoriada, debiendo atenderse para tal efecto a la legislación que regule el medio de defensa de que se trate.</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1C3649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A4EA071" w14:textId="77777777" w:rsidR="0098530D" w:rsidRPr="00AB7CA1" w:rsidRDefault="0098530D" w:rsidP="00552502">
            <w:pPr>
              <w:pStyle w:val="Texto"/>
              <w:spacing w:after="86"/>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56DD64F" w14:textId="77777777" w:rsidR="0098530D" w:rsidRPr="00AB7CA1" w:rsidRDefault="0098530D" w:rsidP="00552502">
            <w:pPr>
              <w:pStyle w:val="Texto"/>
              <w:spacing w:after="86"/>
              <w:ind w:firstLine="0"/>
              <w:jc w:val="center"/>
              <w:rPr>
                <w:b/>
              </w:rPr>
            </w:pPr>
            <w:r w:rsidRPr="00AB7CA1">
              <w:rPr>
                <w:b/>
              </w:rPr>
              <w:t>Primer antecedente</w:t>
            </w:r>
          </w:p>
        </w:tc>
      </w:tr>
      <w:tr w:rsidR="0098530D" w:rsidRPr="00AB7CA1" w14:paraId="6A72A05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FF62701" w14:textId="77777777" w:rsidR="0098530D" w:rsidRPr="00AB7CA1" w:rsidRDefault="0098530D" w:rsidP="00552502">
            <w:pPr>
              <w:pStyle w:val="Texto"/>
              <w:spacing w:after="86"/>
              <w:ind w:firstLine="0"/>
            </w:pPr>
            <w:r w:rsidRPr="00AB7CA1">
              <w:t>Primera Resolución de Modificaciones a la RMF para 2015</w:t>
            </w:r>
          </w:p>
        </w:tc>
        <w:tc>
          <w:tcPr>
            <w:tcW w:w="3237" w:type="pct"/>
            <w:tcBorders>
              <w:top w:val="single" w:sz="6" w:space="0" w:color="auto"/>
              <w:left w:val="single" w:sz="6" w:space="0" w:color="auto"/>
              <w:bottom w:val="single" w:sz="6" w:space="0" w:color="auto"/>
              <w:right w:val="single" w:sz="6" w:space="0" w:color="auto"/>
            </w:tcBorders>
          </w:tcPr>
          <w:p w14:paraId="614335C5" w14:textId="77777777" w:rsidR="0098530D" w:rsidRPr="00AB7CA1" w:rsidRDefault="0098530D" w:rsidP="00552502">
            <w:pPr>
              <w:pStyle w:val="Texto"/>
              <w:spacing w:after="86"/>
              <w:ind w:firstLine="0"/>
            </w:pPr>
            <w:r w:rsidRPr="00AB7CA1">
              <w:t>Publicada en el DOF el 3 de marzo de 2015, Anexo 7, publicado en el DOF el 6 de marzo de 2015.</w:t>
            </w:r>
          </w:p>
        </w:tc>
      </w:tr>
    </w:tbl>
    <w:p w14:paraId="4A7DA795" w14:textId="77777777" w:rsidR="0098530D" w:rsidRPr="00AB7CA1" w:rsidRDefault="0098530D" w:rsidP="0098530D">
      <w:pPr>
        <w:pStyle w:val="Texto"/>
        <w:spacing w:after="86"/>
        <w:ind w:left="2736" w:hanging="1152"/>
        <w:rPr>
          <w:b/>
        </w:rPr>
      </w:pPr>
    </w:p>
    <w:p w14:paraId="5192DCA3" w14:textId="77777777" w:rsidR="0098530D" w:rsidRPr="00AB7CA1" w:rsidRDefault="0098530D" w:rsidP="0098530D">
      <w:pPr>
        <w:pStyle w:val="Texto"/>
        <w:spacing w:after="86"/>
        <w:ind w:left="2736" w:hanging="1152"/>
        <w:rPr>
          <w:b/>
        </w:rPr>
      </w:pPr>
      <w:r w:rsidRPr="00AB7CA1">
        <w:rPr>
          <w:b/>
        </w:rPr>
        <w:t>24/CFF/N</w:t>
      </w:r>
      <w:r w:rsidRPr="00AB7CA1">
        <w:rPr>
          <w:b/>
        </w:rPr>
        <w:tab/>
        <w:t>Contribuciones retenidas. Cuando el retenedor, no la efectúe y asuma el adeudo o las pague, podrá obtener los beneficios legales propios de los contribuyentes.</w:t>
      </w:r>
    </w:p>
    <w:p w14:paraId="0A274D6F" w14:textId="77777777" w:rsidR="0098530D" w:rsidRPr="00AB7CA1" w:rsidRDefault="0098530D" w:rsidP="0098530D">
      <w:pPr>
        <w:pStyle w:val="Texto"/>
        <w:spacing w:after="86"/>
        <w:ind w:left="2736" w:hanging="1152"/>
      </w:pPr>
      <w:r w:rsidRPr="00AB7CA1">
        <w:rPr>
          <w:b/>
        </w:rPr>
        <w:tab/>
      </w:r>
      <w:r w:rsidRPr="00AB7CA1">
        <w:t>El artículo 6o. del CFF establece que en el caso de contribuciones que se deben pagar mediante retención, cuando quien deba efectuarla no lo haga estará obligado a enterar una cantidad equivalente a la que debió haber retenido.</w:t>
      </w:r>
    </w:p>
    <w:p w14:paraId="20D2443D" w14:textId="77777777" w:rsidR="0098530D" w:rsidRPr="00AB7CA1" w:rsidRDefault="0098530D" w:rsidP="0098530D">
      <w:pPr>
        <w:pStyle w:val="Texto"/>
        <w:spacing w:after="84"/>
        <w:ind w:left="2736" w:hanging="1152"/>
      </w:pPr>
      <w:r w:rsidRPr="00AB7CA1">
        <w:tab/>
        <w:t>El artículo 66, primer párrafo del CFF prevé la autorización de pago a plazos y el artículo 70-A, párrafos primero y tercero del CFF establece la reducción de multas y recargos. En ambos supuestos, los beneficios no pueden otorgarse cuando se trate de contribuciones retenidas, tal como lo establecen los artículos 66-A, fracción VI, inciso c), párrafo siguiente y 70-A, primer párrafo, ambos del CFF.</w:t>
      </w:r>
    </w:p>
    <w:p w14:paraId="3D909261" w14:textId="77777777" w:rsidR="0098530D" w:rsidRPr="00AB7CA1" w:rsidRDefault="0098530D" w:rsidP="0098530D">
      <w:pPr>
        <w:pStyle w:val="Texto"/>
        <w:spacing w:after="84"/>
        <w:ind w:left="2736" w:hanging="1152"/>
      </w:pPr>
      <w:r w:rsidRPr="00AB7CA1">
        <w:lastRenderedPageBreak/>
        <w:tab/>
        <w:t>El artículo 26, fracción I del CFF, señala que son responsables solidarios con los contribuyentes, los retenedores y las personas a quienes las leyes impongan la obligación de recaudar contribuciones a cargo de los contribuyentes, hasta por el monto de dichas contribuciones.</w:t>
      </w:r>
    </w:p>
    <w:p w14:paraId="6E4C723F" w14:textId="77777777" w:rsidR="0098530D" w:rsidRPr="00AB7CA1" w:rsidRDefault="0098530D" w:rsidP="0098530D">
      <w:pPr>
        <w:pStyle w:val="Texto"/>
        <w:spacing w:after="84"/>
        <w:ind w:left="2736" w:hanging="1152"/>
      </w:pPr>
      <w:r w:rsidRPr="00AB7CA1">
        <w:tab/>
        <w:t>Del análisis a las disposiciones resumidas en los párrafos anteriores se desprende que los retenedores tienen la obligación de realizar la retención</w:t>
      </w:r>
      <w:r w:rsidRPr="00AB7CA1">
        <w:rPr>
          <w:color w:val="FF0000"/>
        </w:rPr>
        <w:t xml:space="preserve"> </w:t>
      </w:r>
      <w:r w:rsidRPr="00AB7CA1">
        <w:t>a los contribuyentes, es decir, deben descontar o cobrar la cantidad prevista en Ley toda vez que de no hacerlo, en términos del artículo 6o. del CFF y por su condición de responsables solidarios, el entero de las contribuciones deberá realizarse directamente o con cargo a su patrimonio.</w:t>
      </w:r>
    </w:p>
    <w:p w14:paraId="05C7C105" w14:textId="77777777" w:rsidR="0098530D" w:rsidRPr="00AB7CA1" w:rsidRDefault="0098530D" w:rsidP="0098530D">
      <w:pPr>
        <w:pStyle w:val="Texto"/>
        <w:spacing w:after="84"/>
        <w:ind w:left="2736" w:hanging="1152"/>
      </w:pPr>
      <w:r w:rsidRPr="00AB7CA1">
        <w:tab/>
        <w:t>En tales consideraciones, el retenedor que no cobre o descuente las contribuciones a cargo del contribuyente y asuma la responsabilidad de pago o las pague directamente o con su patrimonio, no se encontrará impedido para solicitar la autorización de pago a plazos prevista en el artículo 66, primer párrafo del CFF y la reducción de multas y recargos señalada en el artículo 70-A, primer y tercer párrafos del CFF.</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30BCDE6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B44801B" w14:textId="77777777" w:rsidR="0098530D" w:rsidRPr="00AB7CA1" w:rsidRDefault="0098530D" w:rsidP="00552502">
            <w:pPr>
              <w:pStyle w:val="Texto"/>
              <w:spacing w:after="84"/>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DF37ADA" w14:textId="77777777" w:rsidR="0098530D" w:rsidRPr="00AB7CA1" w:rsidRDefault="0098530D" w:rsidP="00552502">
            <w:pPr>
              <w:pStyle w:val="Texto"/>
              <w:spacing w:after="84"/>
              <w:ind w:firstLine="0"/>
              <w:jc w:val="center"/>
              <w:rPr>
                <w:b/>
              </w:rPr>
            </w:pPr>
            <w:r w:rsidRPr="00AB7CA1">
              <w:rPr>
                <w:b/>
              </w:rPr>
              <w:t>Primer antecedente</w:t>
            </w:r>
          </w:p>
        </w:tc>
      </w:tr>
      <w:tr w:rsidR="0098530D" w:rsidRPr="00AB7CA1" w14:paraId="2BC4948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58ABF957" w14:textId="77777777" w:rsidR="0098530D" w:rsidRPr="00AB7CA1" w:rsidRDefault="0098530D" w:rsidP="00552502">
            <w:pPr>
              <w:pStyle w:val="Texto"/>
              <w:spacing w:after="84"/>
              <w:ind w:firstLine="0"/>
            </w:pPr>
            <w:r w:rsidRPr="00AB7CA1">
              <w:t>Segunda Resolución de Modificaciones a la RMF para 2015</w:t>
            </w:r>
          </w:p>
        </w:tc>
        <w:tc>
          <w:tcPr>
            <w:tcW w:w="3237" w:type="pct"/>
            <w:tcBorders>
              <w:top w:val="single" w:sz="6" w:space="0" w:color="auto"/>
              <w:left w:val="single" w:sz="6" w:space="0" w:color="auto"/>
              <w:bottom w:val="single" w:sz="6" w:space="0" w:color="auto"/>
              <w:right w:val="single" w:sz="6" w:space="0" w:color="auto"/>
            </w:tcBorders>
          </w:tcPr>
          <w:p w14:paraId="58897118" w14:textId="77777777" w:rsidR="0098530D" w:rsidRPr="00AB7CA1" w:rsidRDefault="0098530D" w:rsidP="00552502">
            <w:pPr>
              <w:pStyle w:val="Texto"/>
              <w:spacing w:after="84"/>
              <w:ind w:firstLine="0"/>
            </w:pPr>
            <w:r w:rsidRPr="00AB7CA1">
              <w:t>Publicada en el DOF el 14 de mayo de 2015, Anexo 7, publicado en el DOF el 21 de mayo de 2015.</w:t>
            </w:r>
          </w:p>
        </w:tc>
      </w:tr>
    </w:tbl>
    <w:p w14:paraId="2F833E69" w14:textId="77777777" w:rsidR="0098530D" w:rsidRPr="00AB7CA1" w:rsidRDefault="0098530D" w:rsidP="0098530D">
      <w:pPr>
        <w:pStyle w:val="Texto"/>
        <w:spacing w:after="84"/>
        <w:ind w:left="2736" w:hanging="1152"/>
        <w:rPr>
          <w:b/>
        </w:rPr>
      </w:pPr>
    </w:p>
    <w:p w14:paraId="58FE1889" w14:textId="77777777" w:rsidR="0098530D" w:rsidRPr="00AB7CA1" w:rsidRDefault="0098530D" w:rsidP="0098530D">
      <w:pPr>
        <w:pStyle w:val="Texto"/>
        <w:spacing w:after="84"/>
        <w:ind w:left="2736" w:hanging="1152"/>
        <w:rPr>
          <w:b/>
        </w:rPr>
      </w:pPr>
      <w:r w:rsidRPr="00AB7CA1">
        <w:rPr>
          <w:b/>
        </w:rPr>
        <w:t>25/CFF/N</w:t>
      </w:r>
      <w:r w:rsidRPr="00AB7CA1">
        <w:rPr>
          <w:b/>
        </w:rPr>
        <w:tab/>
        <w:t>Devoluciones indebidas, al tener su origen en una contribución, conservan la naturaleza jurídica de esta.</w:t>
      </w:r>
    </w:p>
    <w:p w14:paraId="27002A2B" w14:textId="77777777" w:rsidR="0098530D" w:rsidRPr="00AB7CA1" w:rsidRDefault="0098530D" w:rsidP="0098530D">
      <w:pPr>
        <w:pStyle w:val="Texto"/>
        <w:spacing w:after="84"/>
        <w:ind w:left="2736" w:hanging="1152"/>
      </w:pPr>
      <w:r w:rsidRPr="00AB7CA1">
        <w:rPr>
          <w:b/>
        </w:rPr>
        <w:tab/>
      </w:r>
      <w:r w:rsidRPr="00AB7CA1">
        <w:t>El artículo 1o. del CFF establece que las personas físicas y las morales están obligadas a contribuir para los gastos públicos conforme a las leyes fiscales respectivas; el artículo 2o., primer párrafo del mismo CFF prevé que las contribuciones se clasifican en impuestos, aportaciones de seguridad social, contribuciones de mejoras y derechos, las cuales se causan conforme se realizan las situaciones jurídicas o de hecho, previstas en las leyes fiscales en términos del artículo 6o., primer párrafo de dicho Código.</w:t>
      </w:r>
    </w:p>
    <w:p w14:paraId="4C5E8AC3" w14:textId="77777777" w:rsidR="0098530D" w:rsidRPr="00AB7CA1" w:rsidRDefault="0098530D" w:rsidP="0098530D">
      <w:pPr>
        <w:pStyle w:val="Texto"/>
        <w:spacing w:after="84"/>
        <w:ind w:left="2736" w:hanging="1152"/>
      </w:pPr>
      <w:r w:rsidRPr="00AB7CA1">
        <w:tab/>
        <w:t>El artículo 22, primer párrafo del CFF establece que las autoridades fiscales devolverán las cantidades pagadas indebidamente y las que procedan conforme a las leyes fiscales. No obstante, el décimo quinto párrafo del artículo en comento, también señala que si la devolución se hubiera efectuado y no procediera, se causarán recargos sobre las cantidades actualizadas, tanto por las devueltas indebidamente como por las de los posibles intereses pagados por las autoridades fiscales, a partir de la fecha de la devolución.</w:t>
      </w:r>
    </w:p>
    <w:p w14:paraId="61FE3E31" w14:textId="77777777" w:rsidR="0098530D" w:rsidRPr="00AB7CA1" w:rsidRDefault="0098530D" w:rsidP="0098530D">
      <w:pPr>
        <w:pStyle w:val="Texto"/>
        <w:spacing w:after="84"/>
        <w:ind w:left="2736" w:hanging="1152"/>
      </w:pPr>
      <w:r w:rsidRPr="00AB7CA1">
        <w:tab/>
        <w:t>Del análisis a los citados preceptos se desprende que las cantidades devueltas por concepto de saldo a favor improcedentes, constituyen erogaciones indebidas, las cuales el Estado debe recibir al tener su origen en las obligaciones tributarias de los particulares, que nacen a partir de que estos se sitúan en el presupuesto de hecho imponible previsto en la ley.</w:t>
      </w:r>
    </w:p>
    <w:p w14:paraId="71A4D875" w14:textId="77777777" w:rsidR="0098530D" w:rsidRPr="00AB7CA1" w:rsidRDefault="0098530D" w:rsidP="0098530D">
      <w:pPr>
        <w:pStyle w:val="Texto"/>
        <w:spacing w:after="84"/>
        <w:ind w:left="2736" w:hanging="1152"/>
      </w:pPr>
      <w:r w:rsidRPr="00AB7CA1">
        <w:tab/>
        <w:t>En consecuencia, los créditos fiscales por devoluciones de saldos a favor improcedentes conservan la naturaleza jurídica de las contribuciones establecidas en la ley que las originó.</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6E9A2A9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C10E79B" w14:textId="77777777" w:rsidR="0098530D" w:rsidRPr="00AB7CA1" w:rsidRDefault="0098530D" w:rsidP="00552502">
            <w:pPr>
              <w:pStyle w:val="Texto"/>
              <w:spacing w:after="84"/>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0F91FCC1" w14:textId="77777777" w:rsidR="0098530D" w:rsidRPr="00AB7CA1" w:rsidRDefault="0098530D" w:rsidP="00552502">
            <w:pPr>
              <w:pStyle w:val="Texto"/>
              <w:spacing w:after="84"/>
              <w:ind w:firstLine="0"/>
              <w:jc w:val="center"/>
              <w:rPr>
                <w:b/>
              </w:rPr>
            </w:pPr>
            <w:r w:rsidRPr="00AB7CA1">
              <w:rPr>
                <w:b/>
              </w:rPr>
              <w:t>Primer antecedente</w:t>
            </w:r>
          </w:p>
        </w:tc>
      </w:tr>
      <w:tr w:rsidR="0098530D" w:rsidRPr="00AB7CA1" w14:paraId="47D5DAC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2B61B336" w14:textId="77777777" w:rsidR="0098530D" w:rsidRPr="00AB7CA1" w:rsidRDefault="0098530D" w:rsidP="00552502">
            <w:pPr>
              <w:pStyle w:val="Texto"/>
              <w:spacing w:after="84"/>
              <w:ind w:firstLine="0"/>
            </w:pPr>
            <w:r w:rsidRPr="00AB7CA1">
              <w:t>Cuarta Resolución de Modificaciones a la RMF para 2015</w:t>
            </w:r>
          </w:p>
        </w:tc>
        <w:tc>
          <w:tcPr>
            <w:tcW w:w="3237" w:type="pct"/>
            <w:tcBorders>
              <w:top w:val="single" w:sz="6" w:space="0" w:color="auto"/>
              <w:left w:val="single" w:sz="6" w:space="0" w:color="auto"/>
              <w:bottom w:val="single" w:sz="6" w:space="0" w:color="auto"/>
              <w:right w:val="single" w:sz="6" w:space="0" w:color="auto"/>
            </w:tcBorders>
          </w:tcPr>
          <w:p w14:paraId="5E24E0ED" w14:textId="77777777" w:rsidR="0098530D" w:rsidRPr="00AB7CA1" w:rsidRDefault="0098530D" w:rsidP="00552502">
            <w:pPr>
              <w:pStyle w:val="Texto"/>
              <w:spacing w:after="84"/>
              <w:ind w:firstLine="0"/>
            </w:pPr>
            <w:r w:rsidRPr="00AB7CA1">
              <w:t>Publicada en el DOF el 29 de septiembre de 2015, Anexo 7, publicado en la misma fecha de la Modificación.</w:t>
            </w:r>
          </w:p>
        </w:tc>
      </w:tr>
    </w:tbl>
    <w:p w14:paraId="72372011" w14:textId="77777777" w:rsidR="0098530D" w:rsidRPr="00AB7CA1" w:rsidRDefault="0098530D" w:rsidP="0098530D">
      <w:pPr>
        <w:pStyle w:val="Texto"/>
        <w:spacing w:after="80" w:line="214" w:lineRule="exact"/>
        <w:ind w:left="2736" w:hanging="1152"/>
        <w:rPr>
          <w:b/>
        </w:rPr>
      </w:pPr>
      <w:r w:rsidRPr="00AB7CA1">
        <w:rPr>
          <w:b/>
        </w:rPr>
        <w:t>26/CFF/N</w:t>
      </w:r>
      <w:r w:rsidRPr="00AB7CA1">
        <w:rPr>
          <w:b/>
        </w:rPr>
        <w:tab/>
        <w:t>Definiciones de saldo a favor y pago de lo indebido.</w:t>
      </w:r>
    </w:p>
    <w:p w14:paraId="47D61E37" w14:textId="77777777" w:rsidR="0098530D" w:rsidRPr="00AB7CA1" w:rsidRDefault="0098530D" w:rsidP="0098530D">
      <w:pPr>
        <w:pStyle w:val="Texto"/>
        <w:spacing w:after="80" w:line="214" w:lineRule="exact"/>
        <w:ind w:left="2736" w:hanging="1152"/>
      </w:pPr>
      <w:r w:rsidRPr="00AB7CA1">
        <w:rPr>
          <w:b/>
        </w:rPr>
        <w:tab/>
      </w:r>
      <w:r w:rsidRPr="00AB7CA1">
        <w:t xml:space="preserve">De conformidad con el artículo 22 del CFF, las autoridades fiscales están obligadas a devolver cantidades pagadas indebidamente y las que procedan de conformidad con las leyes; es decir, la autoridad debe reintegrar las </w:t>
      </w:r>
      <w:r w:rsidRPr="00AB7CA1">
        <w:lastRenderedPageBreak/>
        <w:t>cantidades efectuadas por concepto de un pago indebido de contribuciones, así como las señaladas como saldo a favor en las declaraciones presentadas por los contribuyentes.</w:t>
      </w:r>
    </w:p>
    <w:p w14:paraId="7C520F80" w14:textId="77777777" w:rsidR="0098530D" w:rsidRDefault="0098530D" w:rsidP="0098530D">
      <w:pPr>
        <w:pStyle w:val="Texto"/>
        <w:spacing w:after="80" w:line="214" w:lineRule="exact"/>
        <w:ind w:left="2736" w:hanging="1152"/>
      </w:pPr>
      <w:r w:rsidRPr="00AB7CA1">
        <w:tab/>
        <w:t>La Primera Sala de la Suprema Corte de Justicia de la Nación, a través de la Tesis 1a. CCLXXX/2012, visible en el Semanario Judicial de la Federación y su Gaceta, Libro XV, diciembre de 2012, Tomo 1, página 528, Décima Época, determinó que el pago de lo indebido se refiere a todas aquellas cantidades que el contribuyente enteró en exceso, es decir, montos que el particular no adeuda al Fisco Federal, pero que se dieron por haber pagado una cantidad mayor a la que le impone la ley de la materia.</w:t>
      </w:r>
    </w:p>
    <w:p w14:paraId="73299470" w14:textId="77777777" w:rsidR="0098530D" w:rsidRPr="00AB7CA1" w:rsidRDefault="0098530D" w:rsidP="0098530D">
      <w:pPr>
        <w:pStyle w:val="Texto"/>
        <w:spacing w:after="80" w:line="214" w:lineRule="exact"/>
        <w:ind w:left="2736" w:hanging="1152"/>
      </w:pPr>
      <w:r w:rsidRPr="00AB7CA1">
        <w:tab/>
        <w:t>En cambio, el saldo a favor no deriva de un error de cálculo, aritmético o de apreciación de los elementos que constituyen la obligación tributaria a cargo del contribuyente, sino que este resulta de la aplicación de la mecánica establecida en la ley de la materia.</w:t>
      </w:r>
    </w:p>
    <w:p w14:paraId="1D307F1B" w14:textId="77777777" w:rsidR="0098530D" w:rsidRPr="00AB7CA1" w:rsidRDefault="0098530D" w:rsidP="0098530D">
      <w:pPr>
        <w:pStyle w:val="Texto"/>
        <w:spacing w:after="80" w:line="214" w:lineRule="exact"/>
        <w:ind w:left="2736" w:hanging="1152"/>
      </w:pPr>
      <w:r w:rsidRPr="00AB7CA1">
        <w:tab/>
        <w:t>En tal virtud, cuando se tengan que devolver cantidades, para determinar si su naturaleza corresponde a pago de lo indebido o saldo a favor, deberá estarse a la conceptualización emitida por la Primera Sala de la Suprema Corte de Justicia de la Nación; sin embargo, cuando la devolución sea consecuencia del cumplimiento de una sentencia del Poder Judicial Federal o del Tribunal Federal de Justicia Administrativa, la autoridad fiscal deberá atender a los señalamientos precisados en la propia sentencia, respecto a la naturaleza de la cantidad a devolver.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358AE0A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888F05E" w14:textId="77777777" w:rsidR="0098530D" w:rsidRPr="00AB7CA1" w:rsidRDefault="0098530D" w:rsidP="00552502">
            <w:pPr>
              <w:pStyle w:val="Texto"/>
              <w:spacing w:after="80" w:line="214"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87A43E0" w14:textId="77777777" w:rsidR="0098530D" w:rsidRPr="00AB7CA1" w:rsidRDefault="0098530D" w:rsidP="00552502">
            <w:pPr>
              <w:pStyle w:val="Texto"/>
              <w:spacing w:after="80" w:line="214" w:lineRule="exact"/>
              <w:ind w:firstLine="0"/>
              <w:jc w:val="center"/>
              <w:rPr>
                <w:b/>
              </w:rPr>
            </w:pPr>
            <w:r w:rsidRPr="00AB7CA1">
              <w:rPr>
                <w:b/>
              </w:rPr>
              <w:t>Primer antecedente</w:t>
            </w:r>
          </w:p>
        </w:tc>
      </w:tr>
      <w:tr w:rsidR="0098530D" w:rsidRPr="00AB7CA1" w14:paraId="2BFA3100"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2BD89526" w14:textId="77777777" w:rsidR="0098530D" w:rsidRPr="00AB7CA1" w:rsidRDefault="0098530D" w:rsidP="00552502">
            <w:pPr>
              <w:pStyle w:val="Texto"/>
              <w:spacing w:after="80" w:line="214" w:lineRule="exact"/>
              <w:ind w:firstLine="0"/>
            </w:pPr>
            <w:r w:rsidRPr="00AB7CA1">
              <w:t xml:space="preserve">RMF para 2016 </w:t>
            </w:r>
          </w:p>
        </w:tc>
        <w:tc>
          <w:tcPr>
            <w:tcW w:w="3237" w:type="pct"/>
            <w:tcBorders>
              <w:top w:val="single" w:sz="6" w:space="0" w:color="auto"/>
              <w:left w:val="single" w:sz="6" w:space="0" w:color="auto"/>
              <w:bottom w:val="single" w:sz="6" w:space="0" w:color="auto"/>
              <w:right w:val="single" w:sz="6" w:space="0" w:color="auto"/>
            </w:tcBorders>
          </w:tcPr>
          <w:p w14:paraId="2EDE94AB" w14:textId="77777777" w:rsidR="0098530D" w:rsidRPr="00AB7CA1" w:rsidRDefault="0098530D" w:rsidP="00552502">
            <w:pPr>
              <w:pStyle w:val="Texto"/>
              <w:spacing w:after="80" w:line="214" w:lineRule="exact"/>
              <w:ind w:firstLine="0"/>
            </w:pPr>
            <w:r w:rsidRPr="00AB7CA1">
              <w:t>Publicada en el DOF el 23 de diciembre de 2015, Anexo 7, publicado en el DOF el 12 de enero de 2016.</w:t>
            </w:r>
          </w:p>
        </w:tc>
      </w:tr>
    </w:tbl>
    <w:p w14:paraId="38368E6A" w14:textId="77777777" w:rsidR="0098530D" w:rsidRPr="00AB7CA1" w:rsidRDefault="0098530D" w:rsidP="0098530D">
      <w:pPr>
        <w:pStyle w:val="Texto"/>
        <w:spacing w:after="80" w:line="214" w:lineRule="exact"/>
        <w:ind w:left="2736" w:hanging="1152"/>
        <w:rPr>
          <w:b/>
        </w:rPr>
      </w:pPr>
    </w:p>
    <w:p w14:paraId="200241F1" w14:textId="77777777" w:rsidR="0098530D" w:rsidRPr="00AB7CA1" w:rsidRDefault="0098530D" w:rsidP="0098530D">
      <w:pPr>
        <w:pStyle w:val="Texto"/>
        <w:spacing w:after="80" w:line="214" w:lineRule="exact"/>
        <w:ind w:left="2736" w:hanging="1152"/>
        <w:rPr>
          <w:b/>
        </w:rPr>
      </w:pPr>
      <w:r w:rsidRPr="00AB7CA1">
        <w:rPr>
          <w:b/>
        </w:rPr>
        <w:t>27/CFF/N</w:t>
      </w:r>
      <w:r w:rsidRPr="00AB7CA1">
        <w:t xml:space="preserve"> </w:t>
      </w:r>
      <w:r w:rsidRPr="00AB7CA1">
        <w:tab/>
      </w:r>
      <w:r w:rsidRPr="00AB7CA1">
        <w:rPr>
          <w:b/>
        </w:rPr>
        <w:t>Acuerdo Conclusivo. Concepto de calificación de hechos u omisiones.</w:t>
      </w:r>
    </w:p>
    <w:p w14:paraId="11A86E54" w14:textId="77777777" w:rsidR="0098530D" w:rsidRPr="00AB7CA1" w:rsidRDefault="0098530D" w:rsidP="0098530D">
      <w:pPr>
        <w:pStyle w:val="Texto"/>
        <w:spacing w:after="80" w:line="214" w:lineRule="exact"/>
        <w:ind w:left="2736" w:hanging="1152"/>
      </w:pPr>
      <w:r w:rsidRPr="00AB7CA1">
        <w:tab/>
        <w:t>El artículo 69-C, primer párrafo del CFF, establece que cuando los contribuyentes sean objeto del ejercicio de las facultades de comprobación a que se refiere el artículo 42, fracciones II, III o IX, del referido Código y no estén de acuerdo con los hechos u omisiones asentados en la última acta parcial, en el acta final, en el oficio de observaciones o en la resolución provisional, que puedan entrañar incumplimiento de las disposiciones fiscales, podrán optar por solicitar la adopción de un acuerdo conclusivo.</w:t>
      </w:r>
    </w:p>
    <w:p w14:paraId="059D53B4" w14:textId="77777777" w:rsidR="0098530D" w:rsidRPr="00AB7CA1" w:rsidRDefault="0098530D" w:rsidP="0098530D">
      <w:pPr>
        <w:pStyle w:val="Texto"/>
        <w:spacing w:after="80" w:line="214" w:lineRule="exact"/>
        <w:ind w:left="2736" w:hanging="1152"/>
      </w:pPr>
      <w:r w:rsidRPr="00AB7CA1">
        <w:tab/>
        <w:t>El artículo 69-C, segundo párrafo del CFF, establece que, sin perjuicio de lo señalado en el primer párrafo, los contribuyentes podrán solicitar la adopción del acuerdo conclusivo en cualquier momento, a partir de que dé inicio el ejercicio de las facultades de comprobación y hasta dentro de los veinte días siguientes a aquél en que se haya levantado el acta final, notificado el oficio de observaciones o la resolución provisional, según sea el caso, siempre que la autoridad revisora ya haya realizado una calificación de hechos u omisiones.</w:t>
      </w:r>
    </w:p>
    <w:p w14:paraId="7FA0C2EE" w14:textId="77777777" w:rsidR="0098530D" w:rsidRPr="00AB7CA1" w:rsidRDefault="0098530D" w:rsidP="0098530D">
      <w:pPr>
        <w:pStyle w:val="Texto"/>
        <w:spacing w:after="80" w:line="214" w:lineRule="exact"/>
        <w:ind w:left="2736" w:hanging="1152"/>
      </w:pPr>
      <w:r w:rsidRPr="00AB7CA1">
        <w:tab/>
        <w:t>Por lo tanto, cuando se solicite la adopción de un acuerdo conclusivo conforme a lo establecido en el segundo párrafo del artículo 69-C del CFF, será necesario que la autoridad revisora haya realizado una calificación de hechos u omisiones; entendiendo por dicha calificación aquélla comparación o confrontación entre lo que dispone la ley sustantiva y las situaciones jurídicas o de hecho del contribuyente, que la autoridad realiza en cualquier momento del ejercicio de sus facultades, a fin de determinar si hay conexión y correlación o no entre el precepto legal y las circunstancias de hecho, siempre que dicha calificación se haga del conocimiento del contribuyente por cualquier medio en los términos del procedimiento que corresponda al ejercicio de la facultad ejercida.</w:t>
      </w:r>
    </w:p>
    <w:p w14:paraId="55631A8C" w14:textId="77777777" w:rsidR="0098530D" w:rsidRPr="00AB7CA1" w:rsidRDefault="0098530D" w:rsidP="0098530D">
      <w:pPr>
        <w:pStyle w:val="Texto"/>
        <w:ind w:left="2736" w:hanging="1152"/>
      </w:pPr>
      <w:r w:rsidRPr="00AB7CA1">
        <w:tab/>
        <w:t xml:space="preserve">En otras palabras, la referida calificación de hechos y omisiones es la afirmación de la autoridad en la cual señala que determinada circunstancia o </w:t>
      </w:r>
      <w:r w:rsidRPr="00AB7CA1">
        <w:lastRenderedPageBreak/>
        <w:t>hecho del contribuyente actualizó la hipótesis jurídica, por ejemplo, que determinada situación del contribuyente entraña incumplimiento de las disposiciones fiscales, conforme a la información que conste en los expedientes, documentos, bases de datos, papeles de trabajo e información proporcionada por el contribuyente y terceros relacionados con este, de conformidad con el artículo 63 del multicitado Código.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68A1778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5FE50E3" w14:textId="77777777" w:rsidR="0098530D" w:rsidRPr="00AB7CA1" w:rsidRDefault="0098530D" w:rsidP="00552502">
            <w:pPr>
              <w:pStyle w:val="Texto"/>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1872011D" w14:textId="77777777" w:rsidR="0098530D" w:rsidRPr="00AB7CA1" w:rsidRDefault="0098530D" w:rsidP="00552502">
            <w:pPr>
              <w:pStyle w:val="Texto"/>
              <w:ind w:firstLine="0"/>
              <w:jc w:val="center"/>
              <w:rPr>
                <w:b/>
              </w:rPr>
            </w:pPr>
            <w:r w:rsidRPr="00AB7CA1">
              <w:rPr>
                <w:b/>
              </w:rPr>
              <w:t>Primer antecedente</w:t>
            </w:r>
          </w:p>
        </w:tc>
      </w:tr>
      <w:tr w:rsidR="0098530D" w:rsidRPr="00AB7CA1" w14:paraId="2CAC67F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57410AD" w14:textId="77777777" w:rsidR="0098530D" w:rsidRPr="00AB7CA1" w:rsidRDefault="0098530D" w:rsidP="00552502">
            <w:pPr>
              <w:pStyle w:val="Texto"/>
              <w:ind w:firstLine="0"/>
            </w:pPr>
            <w:r w:rsidRPr="00AB7CA1">
              <w:t>Segunda Resolución de Modificaciones a la RMF para 2016</w:t>
            </w:r>
          </w:p>
        </w:tc>
        <w:tc>
          <w:tcPr>
            <w:tcW w:w="3237" w:type="pct"/>
            <w:tcBorders>
              <w:top w:val="single" w:sz="6" w:space="0" w:color="auto"/>
              <w:left w:val="single" w:sz="6" w:space="0" w:color="auto"/>
              <w:bottom w:val="single" w:sz="6" w:space="0" w:color="auto"/>
              <w:right w:val="single" w:sz="6" w:space="0" w:color="auto"/>
            </w:tcBorders>
          </w:tcPr>
          <w:p w14:paraId="20B07605" w14:textId="77777777" w:rsidR="0098530D" w:rsidRPr="00AB7CA1" w:rsidRDefault="0098530D" w:rsidP="00552502">
            <w:pPr>
              <w:pStyle w:val="Texto"/>
              <w:ind w:firstLine="0"/>
            </w:pPr>
            <w:r w:rsidRPr="00AB7CA1">
              <w:t>Publicada en el DOF el 6 de mayo de 2016, Anexo 7, publicado en el DOF el 9 de mayo de 2016.</w:t>
            </w:r>
          </w:p>
        </w:tc>
      </w:tr>
    </w:tbl>
    <w:p w14:paraId="6D1E74BB" w14:textId="77777777" w:rsidR="0098530D" w:rsidRPr="00AB7CA1" w:rsidRDefault="0098530D" w:rsidP="0098530D">
      <w:pPr>
        <w:pStyle w:val="Texto"/>
        <w:ind w:left="2736" w:hanging="1152"/>
      </w:pPr>
    </w:p>
    <w:p w14:paraId="447114A2" w14:textId="77777777" w:rsidR="0098530D" w:rsidRDefault="0098530D" w:rsidP="0098530D">
      <w:pPr>
        <w:pStyle w:val="Texto"/>
        <w:ind w:left="1584" w:hanging="720"/>
        <w:rPr>
          <w:b/>
        </w:rPr>
      </w:pPr>
      <w:r w:rsidRPr="00AB7CA1">
        <w:rPr>
          <w:b/>
        </w:rPr>
        <w:t>II.</w:t>
      </w:r>
      <w:r w:rsidRPr="00AB7CA1">
        <w:rPr>
          <w:b/>
        </w:rPr>
        <w:tab/>
        <w:t>Criterios de la Ley del ISR</w:t>
      </w:r>
    </w:p>
    <w:p w14:paraId="41315781" w14:textId="77777777" w:rsidR="0098530D" w:rsidRPr="00AB7CA1" w:rsidRDefault="0098530D" w:rsidP="0098530D">
      <w:pPr>
        <w:pStyle w:val="Texto"/>
        <w:ind w:left="2736" w:hanging="1152"/>
        <w:rPr>
          <w:b/>
          <w:lang w:val="es-ES_tradnl"/>
        </w:rPr>
      </w:pPr>
      <w:r w:rsidRPr="00AB7CA1">
        <w:rPr>
          <w:b/>
        </w:rPr>
        <w:t>1/ISR/N</w:t>
      </w:r>
      <w:r w:rsidRPr="00AB7CA1">
        <w:rPr>
          <w:b/>
        </w:rPr>
        <w:tab/>
      </w:r>
      <w:r w:rsidRPr="00AB7CA1">
        <w:rPr>
          <w:b/>
          <w:lang w:val="es-ES_tradnl"/>
        </w:rPr>
        <w:t>Establecimiento permanente. Los ejemplos que pueden considerarse constitutivos de establecimiento permanente deben analizarse de conformidad con las características esenciales de dicho concepto.</w:t>
      </w:r>
    </w:p>
    <w:p w14:paraId="1CF6C2BD" w14:textId="77777777" w:rsidR="0098530D" w:rsidRPr="00AB7CA1" w:rsidRDefault="0098530D" w:rsidP="0098530D">
      <w:pPr>
        <w:pStyle w:val="Texto"/>
        <w:ind w:left="2736" w:hanging="1152"/>
      </w:pPr>
      <w:r w:rsidRPr="00AB7CA1">
        <w:rPr>
          <w:b/>
          <w:lang w:val="es-ES_tradnl"/>
        </w:rPr>
        <w:tab/>
      </w:r>
      <w:r w:rsidRPr="00AB7CA1">
        <w:t>El artículo 2, primer párrafo, primera oración de la Ley del ISR establece que para los efectos de dicha Ley, se considera establecimiento permanente cualquier lugar de negocios en el que se desarrollen, parcial o totalmente, actividades empresariales o se presten servicios personales independientes.</w:t>
      </w:r>
    </w:p>
    <w:p w14:paraId="41997C17" w14:textId="77777777" w:rsidR="0098530D" w:rsidRPr="00AB7CA1" w:rsidRDefault="0098530D" w:rsidP="0098530D">
      <w:pPr>
        <w:pStyle w:val="Texto"/>
        <w:ind w:left="2736" w:hanging="1152"/>
      </w:pPr>
      <w:r w:rsidRPr="00AB7CA1">
        <w:tab/>
        <w:t>La segunda oración de dicho párrafo señala que se entenderá como establecimiento permanente, entre otros, las sucursales, agencias, oficinas, fábricas, talleres, instalaciones, minas, canteras o cualquier lugar de exploración, extracción o explotación de recursos naturales.</w:t>
      </w:r>
    </w:p>
    <w:p w14:paraId="383A575F" w14:textId="77777777" w:rsidR="0098530D" w:rsidRPr="00AB7CA1" w:rsidRDefault="0098530D" w:rsidP="0098530D">
      <w:pPr>
        <w:pStyle w:val="Texto"/>
        <w:ind w:left="2736" w:hanging="1152"/>
      </w:pPr>
      <w:r w:rsidRPr="00AB7CA1">
        <w:tab/>
        <w:t>En este sentido, la primera oración del párrafo analizado da una definición de establecimiento permanente que contiene las características esenciales de este concepto para los efectos de la Ley; esto es, un sitio diferente, un lugar de negocios. La segunda oración de dicho párrafo, enuncia una lista no exhaustiva de ejemplos que pueden considerarse constitutivos de un establecimiento permanente.</w:t>
      </w:r>
    </w:p>
    <w:p w14:paraId="3136A942" w14:textId="77777777" w:rsidR="0098530D" w:rsidRPr="00AB7CA1" w:rsidRDefault="0098530D" w:rsidP="0098530D">
      <w:pPr>
        <w:pStyle w:val="Texto"/>
        <w:ind w:left="2736" w:hanging="1152"/>
      </w:pPr>
      <w:r w:rsidRPr="00AB7CA1">
        <w:tab/>
        <w:t>En consecuencia, los ejemplos contenidos en el artículo 2, primer párrafo, segunda oración de la Ley del ISR, deben entenderse en función de la definición dada en la primera oración de dicho párrafo, por lo que esos ejemplos se consideran establecimientos permanentes cuando cumplen con las características esenciales de dicho concepto establecidas en la primera oración.</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7C92C77"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19082956" w14:textId="77777777" w:rsidR="0098530D" w:rsidRPr="00AB7CA1" w:rsidRDefault="0098530D" w:rsidP="00552502">
            <w:pPr>
              <w:pStyle w:val="Texto"/>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9269258" w14:textId="77777777" w:rsidR="0098530D" w:rsidRPr="00AB7CA1" w:rsidRDefault="0098530D" w:rsidP="00552502">
            <w:pPr>
              <w:pStyle w:val="Texto"/>
              <w:ind w:firstLine="0"/>
              <w:jc w:val="center"/>
              <w:rPr>
                <w:b/>
              </w:rPr>
            </w:pPr>
            <w:r w:rsidRPr="00AB7CA1">
              <w:rPr>
                <w:b/>
              </w:rPr>
              <w:t>Primer antecedente</w:t>
            </w:r>
          </w:p>
        </w:tc>
      </w:tr>
      <w:tr w:rsidR="0098530D" w:rsidRPr="00AB7CA1" w14:paraId="5944695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BBB7353" w14:textId="77777777" w:rsidR="0098530D" w:rsidRPr="00AB7CA1" w:rsidRDefault="0098530D" w:rsidP="00552502">
            <w:pPr>
              <w:pStyle w:val="Texto"/>
              <w:ind w:firstLine="0"/>
            </w:pPr>
            <w:r w:rsidRPr="00AB7CA1">
              <w:t>40/2013/ISR</w:t>
            </w:r>
          </w:p>
        </w:tc>
        <w:tc>
          <w:tcPr>
            <w:tcW w:w="3237" w:type="pct"/>
            <w:tcBorders>
              <w:top w:val="single" w:sz="6" w:space="0" w:color="auto"/>
              <w:left w:val="single" w:sz="6" w:space="0" w:color="auto"/>
              <w:bottom w:val="single" w:sz="6" w:space="0" w:color="auto"/>
              <w:right w:val="single" w:sz="6" w:space="0" w:color="auto"/>
            </w:tcBorders>
          </w:tcPr>
          <w:p w14:paraId="7144036D" w14:textId="77777777" w:rsidR="0098530D" w:rsidRPr="00AB7CA1" w:rsidRDefault="0098530D" w:rsidP="00552502">
            <w:pPr>
              <w:pStyle w:val="Texto"/>
              <w:ind w:firstLine="0"/>
            </w:pPr>
            <w:r w:rsidRPr="00AB7CA1">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40/2013/ISR.</w:t>
            </w:r>
          </w:p>
        </w:tc>
      </w:tr>
    </w:tbl>
    <w:p w14:paraId="308A8C2B" w14:textId="77777777" w:rsidR="0098530D" w:rsidRPr="00AB7CA1" w:rsidRDefault="0098530D" w:rsidP="0098530D">
      <w:pPr>
        <w:pStyle w:val="Texto"/>
        <w:ind w:left="2736" w:hanging="1152"/>
        <w:rPr>
          <w:b/>
        </w:rPr>
      </w:pPr>
    </w:p>
    <w:p w14:paraId="4E302BBB" w14:textId="77777777" w:rsidR="0098530D" w:rsidRPr="00AB7CA1" w:rsidRDefault="0098530D" w:rsidP="0098530D">
      <w:pPr>
        <w:pStyle w:val="Texto"/>
        <w:ind w:left="2736" w:hanging="1152"/>
        <w:rPr>
          <w:b/>
          <w:lang w:val="es-ES_tradnl"/>
        </w:rPr>
      </w:pPr>
      <w:r w:rsidRPr="00AB7CA1">
        <w:rPr>
          <w:b/>
        </w:rPr>
        <w:t>2/ISR/N</w:t>
      </w:r>
      <w:r w:rsidRPr="00AB7CA1">
        <w:rPr>
          <w:b/>
        </w:rPr>
        <w:tab/>
      </w:r>
      <w:r w:rsidRPr="00AB7CA1">
        <w:rPr>
          <w:b/>
          <w:lang w:val="es-ES_tradnl"/>
        </w:rPr>
        <w:t>Beneficios de los tratados para evitar la doble tributación. Es necesario el cumplimiento de las disposiciones de procedimiento para su aplicación.</w:t>
      </w:r>
    </w:p>
    <w:p w14:paraId="290A842B" w14:textId="77777777" w:rsidR="0098530D" w:rsidRPr="00AB7CA1" w:rsidRDefault="0098530D" w:rsidP="0098530D">
      <w:pPr>
        <w:pStyle w:val="Texto"/>
        <w:ind w:left="2736" w:hanging="1152"/>
      </w:pPr>
      <w:r w:rsidRPr="00AB7CA1">
        <w:rPr>
          <w:b/>
          <w:lang w:val="es-ES_tradnl"/>
        </w:rPr>
        <w:tab/>
      </w:r>
      <w:r w:rsidRPr="00AB7CA1">
        <w:t xml:space="preserve">El artículo 4, primer párrafo de la Ley del ISR establece que los beneficios de los tratados para evitar la doble tributación solo serán aplicables a los contribuyentes que acrediten ser residentes en el país de que se trate y cumplan con las disposiciones del propio tratado y de las demás disposiciones de procedimiento contenidas en dicha Ley, incluyendo las obligaciones de presentar la información sobre su situación fiscal en los </w:t>
      </w:r>
      <w:r w:rsidRPr="00AB7CA1">
        <w:lastRenderedPageBreak/>
        <w:t>términos del artículo 32-H, primer párrafo del CFF, o bien, la de presentar dictamen de estados financieros cuando se esté obligado o se haya ejercido la opción a que se refiere el artículo 32-A del citado Código y de designar representante legal.</w:t>
      </w:r>
    </w:p>
    <w:p w14:paraId="137D3A4B" w14:textId="77777777" w:rsidR="0098530D" w:rsidRPr="00AB7CA1" w:rsidRDefault="0098530D" w:rsidP="0098530D">
      <w:pPr>
        <w:pStyle w:val="Texto"/>
        <w:spacing w:line="229" w:lineRule="exact"/>
        <w:ind w:left="2736" w:hanging="1152"/>
      </w:pPr>
      <w:r w:rsidRPr="00AB7CA1">
        <w:tab/>
        <w:t>Ahora bien, por regla general, los tratados para evitar la doble tributación no establecen disposiciones de procedimiento, por lo que cada Estado está facultado para precisar en su legislación interna los requisitos para la aplicación de los beneficios a que se refieren dichos tratados. Esto es reconocido por los Comentarios a los artículos del “Modelo de Convenio Tributario sobre la Renta y sobre el Patrimonio”, a que hace referencia la recomendación adoptada por el Consejo de la OCDE el 23 de octubre</w:t>
      </w:r>
      <w:r>
        <w:t xml:space="preserve"> </w:t>
      </w:r>
      <w:r w:rsidRPr="00AB7CA1">
        <w:t>de 1997.</w:t>
      </w:r>
    </w:p>
    <w:p w14:paraId="46320C76" w14:textId="77777777" w:rsidR="0098530D" w:rsidRPr="00AB7CA1" w:rsidRDefault="0098530D" w:rsidP="0098530D">
      <w:pPr>
        <w:pStyle w:val="Texto"/>
        <w:spacing w:line="229" w:lineRule="exact"/>
        <w:ind w:left="2736" w:hanging="1152"/>
      </w:pPr>
      <w:r w:rsidRPr="00AB7CA1">
        <w:tab/>
        <w:t>Por tanto, para los efectos del artículo 4, primer párrafo de la Ley del ISR, las personas que pretendan aplicar los beneficios de los tratados mencionados deben cumplir con las disposiciones de procedimiento que para tal efecto se contienen en dicha Ley.</w:t>
      </w:r>
    </w:p>
    <w:p w14:paraId="0914F412" w14:textId="77777777" w:rsidR="0098530D" w:rsidRPr="00AB7CA1" w:rsidRDefault="0098530D" w:rsidP="0098530D">
      <w:pPr>
        <w:pStyle w:val="Texto"/>
        <w:spacing w:line="229" w:lineRule="exact"/>
        <w:ind w:left="2736" w:hanging="1152"/>
      </w:pPr>
      <w:r w:rsidRPr="00AB7CA1">
        <w:tab/>
        <w:t>En consecuencia, las personas que no cumplan con las mencionadas disposiciones, no podrán aplicar los beneficios de los tratados para evitar la doble tributación.</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778E54B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03E40AEB" w14:textId="77777777" w:rsidR="0098530D" w:rsidRPr="00AB7CA1" w:rsidRDefault="0098530D" w:rsidP="00552502">
            <w:pPr>
              <w:pStyle w:val="Texto"/>
              <w:spacing w:line="229"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E838B92" w14:textId="77777777" w:rsidR="0098530D" w:rsidRPr="00AB7CA1" w:rsidRDefault="0098530D" w:rsidP="00552502">
            <w:pPr>
              <w:pStyle w:val="Texto"/>
              <w:spacing w:line="229" w:lineRule="exact"/>
              <w:ind w:firstLine="0"/>
              <w:jc w:val="center"/>
              <w:rPr>
                <w:b/>
              </w:rPr>
            </w:pPr>
            <w:r w:rsidRPr="00AB7CA1">
              <w:rPr>
                <w:b/>
              </w:rPr>
              <w:t>Primer antecedente</w:t>
            </w:r>
          </w:p>
        </w:tc>
      </w:tr>
      <w:tr w:rsidR="0098530D" w:rsidRPr="00AB7CA1" w14:paraId="26574D96"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2A54501D" w14:textId="77777777" w:rsidR="0098530D" w:rsidRPr="00AB7CA1" w:rsidRDefault="0098530D" w:rsidP="00552502">
            <w:pPr>
              <w:pStyle w:val="Texto"/>
              <w:spacing w:line="229" w:lineRule="exact"/>
              <w:ind w:firstLine="0"/>
            </w:pPr>
            <w:r w:rsidRPr="00AB7CA1">
              <w:t>2012</w:t>
            </w:r>
          </w:p>
        </w:tc>
        <w:tc>
          <w:tcPr>
            <w:tcW w:w="3237" w:type="pct"/>
            <w:tcBorders>
              <w:top w:val="single" w:sz="6" w:space="0" w:color="auto"/>
              <w:left w:val="single" w:sz="6" w:space="0" w:color="auto"/>
              <w:bottom w:val="single" w:sz="6" w:space="0" w:color="auto"/>
              <w:right w:val="single" w:sz="6" w:space="0" w:color="auto"/>
            </w:tcBorders>
          </w:tcPr>
          <w:p w14:paraId="7F923063" w14:textId="77777777" w:rsidR="0098530D" w:rsidRPr="00AB7CA1" w:rsidRDefault="0098530D" w:rsidP="00552502">
            <w:pPr>
              <w:pStyle w:val="Texto"/>
              <w:spacing w:line="229" w:lineRule="exact"/>
              <w:ind w:firstLine="0"/>
            </w:pPr>
            <w:r w:rsidRPr="00AB7CA1">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40/2012/ISR.</w:t>
            </w:r>
          </w:p>
        </w:tc>
      </w:tr>
    </w:tbl>
    <w:p w14:paraId="7E4844A3" w14:textId="77777777" w:rsidR="0098530D" w:rsidRPr="00AB7CA1" w:rsidRDefault="0098530D" w:rsidP="0098530D">
      <w:pPr>
        <w:pStyle w:val="Texto"/>
        <w:spacing w:line="229" w:lineRule="exact"/>
        <w:ind w:left="2736" w:hanging="1152"/>
        <w:rPr>
          <w:b/>
          <w:lang w:val="es-ES_tradnl"/>
        </w:rPr>
      </w:pPr>
    </w:p>
    <w:p w14:paraId="357E168E" w14:textId="77777777" w:rsidR="0098530D" w:rsidRPr="00AB7CA1" w:rsidRDefault="0098530D" w:rsidP="0098530D">
      <w:pPr>
        <w:pStyle w:val="Texto"/>
        <w:spacing w:line="229" w:lineRule="exact"/>
        <w:ind w:left="2736" w:hanging="1152"/>
        <w:rPr>
          <w:b/>
          <w:lang w:val="es-ES_tradnl"/>
        </w:rPr>
      </w:pPr>
      <w:r w:rsidRPr="00AB7CA1">
        <w:rPr>
          <w:b/>
          <w:lang w:val="es-ES_tradnl"/>
        </w:rPr>
        <w:t>3/ISR</w:t>
      </w:r>
      <w:r w:rsidRPr="00AB7CA1">
        <w:rPr>
          <w:b/>
        </w:rPr>
        <w:t>/N</w:t>
      </w:r>
      <w:r w:rsidRPr="00AB7CA1">
        <w:rPr>
          <w:b/>
        </w:rPr>
        <w:tab/>
      </w:r>
      <w:r w:rsidRPr="00AB7CA1">
        <w:rPr>
          <w:b/>
          <w:lang w:val="es-ES_tradnl"/>
        </w:rPr>
        <w:t>Beneficios del tratado para evitar la doble tributación entre México y Barbados. Interpretación de los textos en español e inglés.</w:t>
      </w:r>
    </w:p>
    <w:p w14:paraId="41340A72" w14:textId="77777777" w:rsidR="0098530D" w:rsidRPr="00AB7CA1" w:rsidRDefault="0098530D" w:rsidP="0098530D">
      <w:pPr>
        <w:pStyle w:val="Texto"/>
        <w:spacing w:line="229" w:lineRule="exact"/>
        <w:ind w:left="2736" w:hanging="1152"/>
      </w:pPr>
      <w:r w:rsidRPr="00AB7CA1">
        <w:rPr>
          <w:b/>
          <w:lang w:val="es-ES_tradnl"/>
        </w:rPr>
        <w:tab/>
      </w:r>
      <w:r w:rsidRPr="00AB7CA1">
        <w:t>El artículo 4, primer párrafo de la Ley del ISR dispone que los beneficios de los tratados para evitar la doble tributación solo serán aplicables a los contribuyentes que cumplan, entre otras, con las disposiciones del propio tratado.</w:t>
      </w:r>
    </w:p>
    <w:p w14:paraId="04818E7C" w14:textId="77777777" w:rsidR="0098530D" w:rsidRPr="00AB7CA1" w:rsidRDefault="0098530D" w:rsidP="0098530D">
      <w:pPr>
        <w:pStyle w:val="Texto"/>
        <w:spacing w:line="229" w:lineRule="exact"/>
        <w:ind w:left="2736" w:hanging="1152"/>
      </w:pPr>
      <w:r w:rsidRPr="00AB7CA1">
        <w:tab/>
        <w:t>El texto auténtico en español del artículo 13, párrafo 3 del Convenio entre el Gobierno de los Estados Unidos Mexicanos y el Gobierno de Barbados para Evitar la Doble Imposición y Prevenir la Evasión Fiscal en Materia de Impuestos sobre la Renta, publicado en el DOF el 15 de enero de 2009, establece que las ganancias obtenidas por un residente de un Estado Contratante derivadas de la enajenación de acciones, participaciones u otros derechos en el capital de una sociedad o persona jurídica residente del otro Estado Contratante, pueden someterse a imposición en ese otro Estado si el perceptor de la ganancia ha sido propietario, directa o indirectamente, en cualquier momento durante un periodo de doce meses anteriores a la enajenación, de una participación de por lo menos el 25 por ciento del capital de dicha sociedad o persona jurídica.</w:t>
      </w:r>
    </w:p>
    <w:p w14:paraId="7943E111" w14:textId="77777777" w:rsidR="0098530D" w:rsidRPr="00AB7CA1" w:rsidRDefault="0098530D" w:rsidP="0098530D">
      <w:pPr>
        <w:pStyle w:val="Texto"/>
        <w:spacing w:line="229" w:lineRule="exact"/>
        <w:ind w:left="2736" w:hanging="1152"/>
      </w:pPr>
      <w:r w:rsidRPr="00AB7CA1">
        <w:tab/>
        <w:t xml:space="preserve">En el texto auténtico en inglés, el cual se encuentra registrado por la Secretaría de Relaciones Exteriores, el párrafo que nos ocupa dispone que dichas ganancias pueden someterse a imposición en el otro Estado “…if the recipient of the gain, at any time during the twelve month period preceding such alienation, together with all persons who are related to the recipient, had </w:t>
      </w:r>
      <w:r w:rsidRPr="00AB7CA1">
        <w:lastRenderedPageBreak/>
        <w:t>a participation of at least 25 percent in the capital of that person or other legal person”.</w:t>
      </w:r>
    </w:p>
    <w:p w14:paraId="3C1E47F4" w14:textId="77777777" w:rsidR="0098530D" w:rsidRPr="00AB7CA1" w:rsidRDefault="0098530D" w:rsidP="0098530D">
      <w:pPr>
        <w:pStyle w:val="Texto"/>
        <w:spacing w:after="90"/>
        <w:ind w:left="2736" w:hanging="1152"/>
      </w:pPr>
      <w:r w:rsidRPr="00AB7CA1">
        <w:tab/>
        <w:t>De los textos auténticos en español e inglés del párrafo señalado, se desprende una divergencia, ya que el texto en inglés contiene la frase “together with all persons who are related to the recipient”, mientras que el texto en español no contiene una traducción de dicha frase. Sin embargo, la parte final de los textos auténticos en español e inglés del Convenio en cita, establecen que, en caso de cualquier divergencia, prevalecerá el texto en inglés.</w:t>
      </w:r>
    </w:p>
    <w:p w14:paraId="70BB425D" w14:textId="77777777" w:rsidR="0098530D" w:rsidRPr="00AB7CA1" w:rsidRDefault="0098530D" w:rsidP="0098530D">
      <w:pPr>
        <w:pStyle w:val="Texto"/>
        <w:spacing w:after="90"/>
        <w:ind w:left="2736" w:hanging="1152"/>
      </w:pPr>
      <w:r w:rsidRPr="00AB7CA1">
        <w:tab/>
        <w:t>Por tanto, para los efectos del artículo 4, primer párrafo de la Ley del ISR, el cumplimiento de las disposiciones del artículo 13, párrafo 3 del Convenio citado debe efectuarse de conformidad con el texto auténtico en inglés del párrafo 3 del artículo referido.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5B4A019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AEDEB1C" w14:textId="77777777" w:rsidR="0098530D" w:rsidRPr="00AB7CA1" w:rsidRDefault="0098530D" w:rsidP="00552502">
            <w:pPr>
              <w:pStyle w:val="Texto"/>
              <w:spacing w:after="90"/>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74617ECA" w14:textId="77777777" w:rsidR="0098530D" w:rsidRPr="00AB7CA1" w:rsidRDefault="0098530D" w:rsidP="00552502">
            <w:pPr>
              <w:pStyle w:val="Texto"/>
              <w:spacing w:after="90"/>
              <w:ind w:firstLine="0"/>
              <w:jc w:val="center"/>
              <w:rPr>
                <w:b/>
              </w:rPr>
            </w:pPr>
            <w:r w:rsidRPr="00AB7CA1">
              <w:rPr>
                <w:b/>
              </w:rPr>
              <w:t>Primer antecedente</w:t>
            </w:r>
          </w:p>
        </w:tc>
      </w:tr>
      <w:tr w:rsidR="0098530D" w:rsidRPr="00AB7CA1" w14:paraId="3235CE58"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12CFC84" w14:textId="77777777" w:rsidR="0098530D" w:rsidRPr="00AB7CA1" w:rsidRDefault="0098530D" w:rsidP="00552502">
            <w:pPr>
              <w:pStyle w:val="Texto"/>
              <w:spacing w:after="90"/>
              <w:ind w:firstLine="0"/>
            </w:pPr>
            <w:r w:rsidRPr="00AB7CA1">
              <w:t>41/2012/ISR</w:t>
            </w:r>
          </w:p>
        </w:tc>
        <w:tc>
          <w:tcPr>
            <w:tcW w:w="3237" w:type="pct"/>
            <w:tcBorders>
              <w:top w:val="single" w:sz="6" w:space="0" w:color="auto"/>
              <w:left w:val="single" w:sz="6" w:space="0" w:color="auto"/>
              <w:bottom w:val="single" w:sz="6" w:space="0" w:color="auto"/>
              <w:right w:val="single" w:sz="6" w:space="0" w:color="auto"/>
            </w:tcBorders>
          </w:tcPr>
          <w:p w14:paraId="75E01FED" w14:textId="77777777" w:rsidR="0098530D" w:rsidRPr="00AB7CA1" w:rsidRDefault="0098530D" w:rsidP="00552502">
            <w:pPr>
              <w:pStyle w:val="Texto"/>
              <w:spacing w:after="90"/>
              <w:ind w:firstLine="0"/>
            </w:pPr>
            <w:r w:rsidRPr="00AB7CA1">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41/2012/ISR.</w:t>
            </w:r>
          </w:p>
        </w:tc>
      </w:tr>
    </w:tbl>
    <w:p w14:paraId="5539DA90" w14:textId="77777777" w:rsidR="0098530D" w:rsidRPr="00AB7CA1" w:rsidRDefault="0098530D" w:rsidP="0098530D">
      <w:pPr>
        <w:pStyle w:val="Texto"/>
        <w:spacing w:after="90"/>
        <w:rPr>
          <w:b/>
        </w:rPr>
      </w:pPr>
    </w:p>
    <w:p w14:paraId="2782A2ED" w14:textId="77777777" w:rsidR="0098530D" w:rsidRPr="00AB7CA1" w:rsidRDefault="0098530D" w:rsidP="0098530D">
      <w:pPr>
        <w:pStyle w:val="Texto"/>
        <w:spacing w:after="90"/>
        <w:ind w:left="2736" w:hanging="1152"/>
        <w:rPr>
          <w:b/>
          <w:lang w:val="es-ES_tradnl"/>
        </w:rPr>
      </w:pPr>
      <w:r w:rsidRPr="00AB7CA1">
        <w:rPr>
          <w:b/>
        </w:rPr>
        <w:t>4/ISR/N</w:t>
      </w:r>
      <w:r w:rsidRPr="00AB7CA1">
        <w:rPr>
          <w:b/>
        </w:rPr>
        <w:tab/>
      </w:r>
      <w:r w:rsidRPr="00AB7CA1">
        <w:rPr>
          <w:b/>
          <w:lang w:val="es-ES_tradnl"/>
        </w:rPr>
        <w:t>Orden en que se efectuará el acreditamiento del ISR pagado en el extranjero.</w:t>
      </w:r>
    </w:p>
    <w:p w14:paraId="59B1250E" w14:textId="77777777" w:rsidR="0098530D" w:rsidRPr="00AB7CA1" w:rsidRDefault="0098530D" w:rsidP="0098530D">
      <w:pPr>
        <w:pStyle w:val="Texto"/>
        <w:spacing w:after="90"/>
        <w:ind w:left="2736" w:hanging="1152"/>
      </w:pPr>
      <w:r w:rsidRPr="00AB7CA1">
        <w:rPr>
          <w:b/>
          <w:lang w:val="es-ES_tradnl"/>
        </w:rPr>
        <w:tab/>
      </w:r>
      <w:r w:rsidRPr="00AB7CA1">
        <w:t>El artículo 5, sexto párrafo de la Ley del ISR establece que tratándose de personas morales, el monto del ISR que hayan pagado en el extranjero por los ingresos procedentes de fuente ubicada en el extranjero, acreditable contra el impuesto que conforme a dicha Ley les corresponda pagar, no excederá de la cantidad que resulte de aplicar la tasa a que se refiere el artículo 9 de la propia Ley, a la utilidad fiscal que resulte conforme a las disposiciones aplicables por los ingresos percibidos en el extranjero, señalando además que las deducciones que sean atribuibles exclusivamente a los ingresos de fuente de riqueza ubicada en el extranjero, se considerarán al cien por ciento.</w:t>
      </w:r>
    </w:p>
    <w:p w14:paraId="7BE76472" w14:textId="77777777" w:rsidR="0098530D" w:rsidRPr="00AB7CA1" w:rsidRDefault="0098530D" w:rsidP="0098530D">
      <w:pPr>
        <w:pStyle w:val="Texto"/>
        <w:spacing w:after="90"/>
        <w:ind w:left="2736" w:hanging="1152"/>
      </w:pPr>
      <w:r w:rsidRPr="00AB7CA1">
        <w:tab/>
        <w:t>Dicha disposición no establece el orden en el cual se debe realizar el acreditamiento del ISR pagado en el extranjero, por ende se considera que el mismo se puede acreditar contra el ISR que les corresponda pagar en el país a dichas personas morales, antes de acreditar los pagos provisionales del ejercicio.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733689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77056BDC" w14:textId="77777777" w:rsidR="0098530D" w:rsidRPr="00AB7CA1" w:rsidRDefault="0098530D" w:rsidP="00552502">
            <w:pPr>
              <w:pStyle w:val="Texto"/>
              <w:spacing w:after="90"/>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607E044" w14:textId="77777777" w:rsidR="0098530D" w:rsidRPr="00AB7CA1" w:rsidRDefault="0098530D" w:rsidP="00552502">
            <w:pPr>
              <w:pStyle w:val="Texto"/>
              <w:spacing w:after="90"/>
              <w:ind w:firstLine="0"/>
              <w:jc w:val="center"/>
              <w:rPr>
                <w:b/>
              </w:rPr>
            </w:pPr>
            <w:r w:rsidRPr="00AB7CA1">
              <w:rPr>
                <w:b/>
              </w:rPr>
              <w:t>Primer antecedente</w:t>
            </w:r>
          </w:p>
        </w:tc>
      </w:tr>
      <w:tr w:rsidR="0098530D" w:rsidRPr="00AB7CA1" w14:paraId="743BC30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2A406B88" w14:textId="77777777" w:rsidR="0098530D" w:rsidRPr="00AB7CA1" w:rsidRDefault="0098530D" w:rsidP="00552502">
            <w:pPr>
              <w:pStyle w:val="Texto"/>
              <w:spacing w:after="90"/>
              <w:ind w:firstLine="0"/>
            </w:pPr>
            <w:r w:rsidRPr="00AB7CA1">
              <w:t>46/2007/ISR</w:t>
            </w:r>
          </w:p>
        </w:tc>
        <w:tc>
          <w:tcPr>
            <w:tcW w:w="3237" w:type="pct"/>
            <w:tcBorders>
              <w:top w:val="single" w:sz="6" w:space="0" w:color="auto"/>
              <w:left w:val="single" w:sz="6" w:space="0" w:color="auto"/>
              <w:bottom w:val="single" w:sz="6" w:space="0" w:color="auto"/>
              <w:right w:val="single" w:sz="6" w:space="0" w:color="auto"/>
            </w:tcBorders>
          </w:tcPr>
          <w:p w14:paraId="046A11DB" w14:textId="77777777" w:rsidR="0098530D" w:rsidRPr="00AB7CA1" w:rsidRDefault="0098530D" w:rsidP="00552502">
            <w:pPr>
              <w:pStyle w:val="Texto"/>
              <w:spacing w:after="90"/>
              <w:ind w:firstLine="0"/>
            </w:pPr>
            <w:r w:rsidRPr="00AB7CA1">
              <w:t>Oficio 325-SAT-09-04-B-90015 de 14 de diciembre de 2007, mediante el cual se da a conocer el Boletín 2007.</w:t>
            </w:r>
          </w:p>
        </w:tc>
      </w:tr>
    </w:tbl>
    <w:p w14:paraId="33B65796" w14:textId="77777777" w:rsidR="0098530D" w:rsidRPr="00AB7CA1" w:rsidRDefault="0098530D" w:rsidP="0098530D">
      <w:pPr>
        <w:pStyle w:val="Texto"/>
        <w:spacing w:after="90"/>
        <w:ind w:left="2736" w:hanging="1152"/>
        <w:rPr>
          <w:b/>
        </w:rPr>
      </w:pPr>
    </w:p>
    <w:p w14:paraId="754AE031" w14:textId="77777777" w:rsidR="0098530D" w:rsidRPr="00AB7CA1" w:rsidRDefault="0098530D" w:rsidP="0098530D">
      <w:pPr>
        <w:pStyle w:val="Texto"/>
        <w:spacing w:after="90"/>
        <w:ind w:left="2736" w:hanging="1152"/>
        <w:rPr>
          <w:b/>
          <w:lang w:val="es-ES_tradnl"/>
        </w:rPr>
      </w:pPr>
      <w:r w:rsidRPr="00AB7CA1">
        <w:rPr>
          <w:b/>
        </w:rPr>
        <w:t>5/ISR/N</w:t>
      </w:r>
      <w:r w:rsidRPr="00AB7CA1">
        <w:rPr>
          <w:b/>
        </w:rPr>
        <w:tab/>
      </w:r>
      <w:r w:rsidRPr="00AB7CA1">
        <w:rPr>
          <w:b/>
          <w:lang w:val="es-ES_tradnl"/>
        </w:rPr>
        <w:t>Acreditamiento del ISR pagado en el extranjero. Los contribuyentes sólo podrán acreditar el excedente cuando el procedimiento amistoso concluya con un acuerdo y lo acepten.</w:t>
      </w:r>
    </w:p>
    <w:p w14:paraId="5487BBAC" w14:textId="77777777" w:rsidR="0098530D" w:rsidRPr="00AB7CA1" w:rsidRDefault="0098530D" w:rsidP="0098530D">
      <w:pPr>
        <w:pStyle w:val="Texto"/>
        <w:spacing w:after="90"/>
        <w:ind w:left="2736" w:hanging="1152"/>
      </w:pPr>
      <w:r w:rsidRPr="00AB7CA1">
        <w:rPr>
          <w:b/>
          <w:lang w:val="es-ES_tradnl"/>
        </w:rPr>
        <w:tab/>
      </w:r>
      <w:r w:rsidRPr="00AB7CA1">
        <w:t>El artículo 5, décimo quinto párrafo de la Ley del ISR establece que los contribuyentes que hayan pagado en el extranjero ISR en un monto que exceda al previsto en el tratado para evitar la doble tributación que, en su caso, sea aplicable al ingreso de que se trate, solo podrán acreditar el excedente en los términos de dicho artículo una vez agotado el procedimiento de resolución de controversias contenido en ese mismo tratado.</w:t>
      </w:r>
    </w:p>
    <w:p w14:paraId="7637A9B2" w14:textId="77777777" w:rsidR="0098530D" w:rsidRPr="00AB7CA1" w:rsidRDefault="0098530D" w:rsidP="0098530D">
      <w:pPr>
        <w:pStyle w:val="Texto"/>
        <w:spacing w:after="90"/>
        <w:ind w:left="2736" w:hanging="1152"/>
      </w:pPr>
      <w:r w:rsidRPr="00AB7CA1">
        <w:lastRenderedPageBreak/>
        <w:tab/>
        <w:t>El artículo 25, párrafo 2, o su similar o análogo, de los tratados para evitar la doble tributación que México tiene en vigor dispone que las autoridades competentes harán lo posible por resolver la cuestión a fin de evitar una imposición que no se ajuste al tratado, por medio de un acuerdo amistoso.</w:t>
      </w:r>
    </w:p>
    <w:p w14:paraId="5076074D" w14:textId="77777777" w:rsidR="0098530D" w:rsidRPr="00AB7CA1" w:rsidRDefault="0098530D" w:rsidP="0098530D">
      <w:pPr>
        <w:pStyle w:val="Texto"/>
        <w:spacing w:line="220" w:lineRule="exact"/>
        <w:ind w:left="2736" w:hanging="1152"/>
      </w:pPr>
      <w:r w:rsidRPr="00AB7CA1">
        <w:tab/>
        <w:t>De conformidad con lo señalado en el párrafo anterior, se trata solo de un procedimiento amistoso; esto es, constituye la ejecución de un pacto que implica para las partes la mera obligación de negociar, pero no la de llegar a un acuerdo.</w:t>
      </w:r>
    </w:p>
    <w:p w14:paraId="5B02F5B4" w14:textId="77777777" w:rsidR="0098530D" w:rsidRPr="00AB7CA1" w:rsidRDefault="0098530D" w:rsidP="0098530D">
      <w:pPr>
        <w:pStyle w:val="Texto"/>
        <w:spacing w:line="220" w:lineRule="exact"/>
        <w:ind w:left="2736" w:hanging="1152"/>
      </w:pPr>
      <w:r w:rsidRPr="00AB7CA1">
        <w:tab/>
        <w:t>En este sentido, un procedimiento amistoso puede concluir con o sin un acuerdo, cuya ejecución, en su caso, normalmente estaría subordinada a la aceptación de tal acuerdo amistoso por el contribuyente.</w:t>
      </w:r>
    </w:p>
    <w:p w14:paraId="1B98E757" w14:textId="77777777" w:rsidR="0098530D" w:rsidRPr="00AB7CA1" w:rsidRDefault="0098530D" w:rsidP="0098530D">
      <w:pPr>
        <w:pStyle w:val="Texto"/>
        <w:spacing w:line="220" w:lineRule="exact"/>
        <w:ind w:left="2736" w:hanging="1152"/>
      </w:pPr>
      <w:r w:rsidRPr="00AB7CA1">
        <w:tab/>
        <w:t>En consecuencia, los contribuyentes no podrán acreditar el excedente a que se refiere el artículo 5, décimo quinto párrafo de la Ley del ISR, cuando el procedimiento amistoso concluya sin un acuerdo, o cuando termine con un acuerdo amistoso que no sea aceptado por dichos contribuyentes; en cambio, sí podrán efectuar tal acreditamiento cuando el procedimiento amistoso concluya con un acuerdo y lo acepten.</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3F9C5C75"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3EFAC20" w14:textId="77777777" w:rsidR="0098530D" w:rsidRPr="00AB7CA1" w:rsidRDefault="0098530D" w:rsidP="00552502">
            <w:pPr>
              <w:pStyle w:val="Texto"/>
              <w:spacing w:line="220"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CAB3852" w14:textId="77777777" w:rsidR="0098530D" w:rsidRPr="00AB7CA1" w:rsidRDefault="0098530D" w:rsidP="00552502">
            <w:pPr>
              <w:pStyle w:val="Texto"/>
              <w:spacing w:line="220" w:lineRule="exact"/>
              <w:ind w:firstLine="0"/>
              <w:jc w:val="center"/>
              <w:rPr>
                <w:b/>
              </w:rPr>
            </w:pPr>
            <w:r w:rsidRPr="00AB7CA1">
              <w:rPr>
                <w:b/>
              </w:rPr>
              <w:t>Primer antecedente</w:t>
            </w:r>
          </w:p>
        </w:tc>
      </w:tr>
      <w:tr w:rsidR="0098530D" w:rsidRPr="00AB7CA1" w14:paraId="6A821977"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C93D6F5" w14:textId="77777777" w:rsidR="0098530D" w:rsidRPr="00AB7CA1" w:rsidRDefault="0098530D" w:rsidP="00552502">
            <w:pPr>
              <w:pStyle w:val="Texto"/>
              <w:spacing w:line="220" w:lineRule="exact"/>
              <w:ind w:firstLine="0"/>
            </w:pPr>
            <w:r w:rsidRPr="00AB7CA1">
              <w:t>45/2013/ISR</w:t>
            </w:r>
          </w:p>
        </w:tc>
        <w:tc>
          <w:tcPr>
            <w:tcW w:w="3237" w:type="pct"/>
            <w:tcBorders>
              <w:top w:val="single" w:sz="6" w:space="0" w:color="auto"/>
              <w:left w:val="single" w:sz="6" w:space="0" w:color="auto"/>
              <w:bottom w:val="single" w:sz="6" w:space="0" w:color="auto"/>
              <w:right w:val="single" w:sz="6" w:space="0" w:color="auto"/>
            </w:tcBorders>
          </w:tcPr>
          <w:p w14:paraId="7EAA68C4" w14:textId="77777777" w:rsidR="0098530D" w:rsidRPr="00AB7CA1" w:rsidRDefault="0098530D" w:rsidP="00552502">
            <w:pPr>
              <w:pStyle w:val="Texto"/>
              <w:spacing w:line="220" w:lineRule="exact"/>
              <w:ind w:firstLine="0"/>
            </w:pPr>
            <w:r w:rsidRPr="00AB7CA1">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45/2013/ISR.</w:t>
            </w:r>
          </w:p>
        </w:tc>
      </w:tr>
    </w:tbl>
    <w:p w14:paraId="1C17EA96" w14:textId="77777777" w:rsidR="0098530D" w:rsidRPr="00AB7CA1" w:rsidRDefault="0098530D" w:rsidP="0098530D">
      <w:pPr>
        <w:pStyle w:val="Texto"/>
        <w:spacing w:line="220" w:lineRule="exact"/>
        <w:rPr>
          <w:b/>
        </w:rPr>
      </w:pPr>
    </w:p>
    <w:p w14:paraId="5C8F35BC" w14:textId="77777777" w:rsidR="0098530D" w:rsidRPr="00AB7CA1" w:rsidRDefault="0098530D" w:rsidP="0098530D">
      <w:pPr>
        <w:pStyle w:val="Texto"/>
        <w:spacing w:line="220" w:lineRule="exact"/>
        <w:ind w:left="2736" w:hanging="1152"/>
        <w:rPr>
          <w:b/>
          <w:lang w:val="es-ES_tradnl"/>
        </w:rPr>
      </w:pPr>
      <w:r w:rsidRPr="00AB7CA1">
        <w:rPr>
          <w:b/>
        </w:rPr>
        <w:t>6/ISR/N</w:t>
      </w:r>
      <w:r w:rsidRPr="00AB7CA1">
        <w:rPr>
          <w:b/>
        </w:rPr>
        <w:tab/>
      </w:r>
      <w:r w:rsidRPr="00AB7CA1">
        <w:rPr>
          <w:b/>
          <w:lang w:val="es-ES_tradnl"/>
        </w:rPr>
        <w:t>Devolución de cantidades realizada por la autoridad fiscal. Si se pagan intereses los mismos deben acumularse para efectos del ISR.</w:t>
      </w:r>
    </w:p>
    <w:p w14:paraId="7D0D64CE" w14:textId="77777777" w:rsidR="0098530D" w:rsidRPr="00AB7CA1" w:rsidRDefault="0098530D" w:rsidP="0098530D">
      <w:pPr>
        <w:pStyle w:val="Texto"/>
        <w:spacing w:line="220" w:lineRule="exact"/>
        <w:ind w:left="2736" w:hanging="1152"/>
      </w:pPr>
      <w:r w:rsidRPr="00AB7CA1">
        <w:rPr>
          <w:b/>
          <w:lang w:val="es-ES_tradnl"/>
        </w:rPr>
        <w:tab/>
      </w:r>
      <w:r w:rsidRPr="00AB7CA1">
        <w:t>El artículo 8 de la Ley del ISR establece que se consideran intereses, cualquiera que sea el nombre con que se les designe, a los rendimientos de créditos de cualquier clase.</w:t>
      </w:r>
    </w:p>
    <w:p w14:paraId="05E1282D" w14:textId="77777777" w:rsidR="0098530D" w:rsidRPr="00AB7CA1" w:rsidRDefault="0098530D" w:rsidP="0098530D">
      <w:pPr>
        <w:pStyle w:val="Texto"/>
        <w:spacing w:line="220" w:lineRule="exact"/>
        <w:ind w:left="2736" w:hanging="1152"/>
      </w:pPr>
      <w:r w:rsidRPr="00AB7CA1">
        <w:tab/>
        <w:t>El artículo 18, fracción IX de la Ley en cita dispone que tratándose de personas morales, se consideran ingresos acumulables, entre otros, los intereses devengados a favor en el ejercicio, sin ajuste alguno.</w:t>
      </w:r>
    </w:p>
    <w:p w14:paraId="29CF0B35" w14:textId="77777777" w:rsidR="0098530D" w:rsidRPr="00AB7CA1" w:rsidRDefault="0098530D" w:rsidP="0098530D">
      <w:pPr>
        <w:pStyle w:val="Texto"/>
        <w:spacing w:line="220" w:lineRule="exact"/>
        <w:ind w:left="2736" w:hanging="1152"/>
      </w:pPr>
      <w:r w:rsidRPr="00AB7CA1">
        <w:tab/>
        <w:t>Para el caso de personas físicas, los artículos 133 y 135 de la Ley del ISR, precisan que se consideran ingresos los intereses establecidos en el artículo 8 de la misma Ley y los demás que conforme a la propia Ley tengan el tratamiento de interés; y que quienes paguen dichos intereses están obligados a retener y enterar el ISR aplicando la tasa que al efecto establezca en el ejercicio de que se trate, la LIF.</w:t>
      </w:r>
    </w:p>
    <w:p w14:paraId="06EDC753" w14:textId="77777777" w:rsidR="0098530D" w:rsidRPr="00AB7CA1" w:rsidRDefault="0098530D" w:rsidP="0098530D">
      <w:pPr>
        <w:pStyle w:val="Texto"/>
        <w:spacing w:line="220" w:lineRule="exact"/>
        <w:ind w:left="2736" w:hanging="1152"/>
      </w:pPr>
      <w:r w:rsidRPr="00AB7CA1">
        <w:tab/>
        <w:t>El artículo 22-A del CFF prevé los supuestos en que la autoridad fiscal debe pagar intereses por devoluciones extemporáneas, los cuales se calcularán a partir del momento que para cada supuesto está establecido, calculándolos conforme a la tasa prevista en el artículo 21 del citado Código que se aplicará sobre la devolución actualizada.</w:t>
      </w:r>
    </w:p>
    <w:p w14:paraId="6B04712C" w14:textId="77777777" w:rsidR="0098530D" w:rsidRPr="00AB7CA1" w:rsidRDefault="0098530D" w:rsidP="0098530D">
      <w:pPr>
        <w:pStyle w:val="Texto"/>
        <w:spacing w:line="220" w:lineRule="exact"/>
        <w:ind w:left="2736" w:hanging="1152"/>
      </w:pPr>
      <w:r w:rsidRPr="00AB7CA1">
        <w:tab/>
        <w:t>Por lo anterior, cuando la autoridad fiscal proceda a la devolución de cantidades donde pague intereses, en su resolución deberá indicar que los mismos serán acumulables para efectos del ISR, además, tratándose de personas físicas, la autoridad fiscal procederá a realizar la retención y entero del ISR que corresponda.</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E86D3A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476A3C4" w14:textId="77777777" w:rsidR="0098530D" w:rsidRPr="00AB7CA1" w:rsidRDefault="0098530D" w:rsidP="00552502">
            <w:pPr>
              <w:pStyle w:val="Texto"/>
              <w:spacing w:line="220"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76755690" w14:textId="77777777" w:rsidR="0098530D" w:rsidRPr="00AB7CA1" w:rsidRDefault="0098530D" w:rsidP="00552502">
            <w:pPr>
              <w:pStyle w:val="Texto"/>
              <w:spacing w:line="220" w:lineRule="exact"/>
              <w:ind w:firstLine="0"/>
              <w:jc w:val="center"/>
              <w:rPr>
                <w:b/>
              </w:rPr>
            </w:pPr>
            <w:r w:rsidRPr="00AB7CA1">
              <w:rPr>
                <w:b/>
              </w:rPr>
              <w:t>Primer antecedente</w:t>
            </w:r>
          </w:p>
        </w:tc>
      </w:tr>
      <w:tr w:rsidR="0098530D" w:rsidRPr="00AB7CA1" w14:paraId="3417FF0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57201D5" w14:textId="77777777" w:rsidR="0098530D" w:rsidRPr="00AB7CA1" w:rsidRDefault="0098530D" w:rsidP="00552502">
            <w:pPr>
              <w:pStyle w:val="Texto"/>
              <w:spacing w:line="220" w:lineRule="exact"/>
              <w:ind w:firstLine="0"/>
            </w:pPr>
            <w:r w:rsidRPr="00AB7CA1">
              <w:lastRenderedPageBreak/>
              <w:t>2009</w:t>
            </w:r>
          </w:p>
        </w:tc>
        <w:tc>
          <w:tcPr>
            <w:tcW w:w="3237" w:type="pct"/>
            <w:tcBorders>
              <w:top w:val="single" w:sz="6" w:space="0" w:color="auto"/>
              <w:left w:val="single" w:sz="6" w:space="0" w:color="auto"/>
              <w:bottom w:val="single" w:sz="6" w:space="0" w:color="auto"/>
              <w:right w:val="single" w:sz="6" w:space="0" w:color="auto"/>
            </w:tcBorders>
          </w:tcPr>
          <w:p w14:paraId="61BD3E9D" w14:textId="77777777" w:rsidR="0098530D" w:rsidRPr="00AB7CA1" w:rsidRDefault="0098530D" w:rsidP="00552502">
            <w:pPr>
              <w:pStyle w:val="Texto"/>
              <w:spacing w:line="220" w:lineRule="exact"/>
              <w:ind w:firstLine="0"/>
            </w:pPr>
            <w:r w:rsidRPr="00AB7CA1">
              <w:t xml:space="preserve">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49/2009/ISR </w:t>
            </w:r>
          </w:p>
        </w:tc>
      </w:tr>
    </w:tbl>
    <w:p w14:paraId="179E8768" w14:textId="77777777" w:rsidR="0098530D" w:rsidRPr="00AB7CA1" w:rsidRDefault="0098530D" w:rsidP="0098530D">
      <w:pPr>
        <w:pStyle w:val="Texto"/>
        <w:ind w:left="2736" w:hanging="1152"/>
        <w:rPr>
          <w:b/>
          <w:lang w:val="es-ES_tradnl"/>
        </w:rPr>
      </w:pPr>
      <w:r w:rsidRPr="00AB7CA1">
        <w:rPr>
          <w:b/>
        </w:rPr>
        <w:t>7/ISR/N</w:t>
      </w:r>
      <w:r w:rsidRPr="00AB7CA1">
        <w:rPr>
          <w:b/>
        </w:rPr>
        <w:tab/>
      </w:r>
      <w:r w:rsidRPr="00AB7CA1">
        <w:rPr>
          <w:b/>
          <w:lang w:val="es-ES_tradnl"/>
        </w:rPr>
        <w:t>Ganancia en la enajenación de certificados bursátiles fiduciarios, colocados entre el gran público inversionista. Se debe considerar interés.</w:t>
      </w:r>
    </w:p>
    <w:p w14:paraId="37BD638B" w14:textId="77777777" w:rsidR="0098530D" w:rsidRPr="00AB7CA1" w:rsidRDefault="0098530D" w:rsidP="0098530D">
      <w:pPr>
        <w:pStyle w:val="Texto"/>
        <w:ind w:left="2736" w:hanging="1152"/>
      </w:pPr>
      <w:r w:rsidRPr="00AB7CA1">
        <w:rPr>
          <w:b/>
          <w:lang w:val="es-ES_tradnl"/>
        </w:rPr>
        <w:tab/>
      </w:r>
      <w:r w:rsidRPr="00AB7CA1">
        <w:t>El artículo 14, primer párrafo, fracción VI, inciso b), segundo párrafo del CFF establece que la enajenación de certificados de participación se considerará como una enajenación de títulos de crédito que no representan la propiedad de bienes y tendrán las consecuencias fiscales que establecen las leyes fiscales para la enajenación de tales títulos.</w:t>
      </w:r>
    </w:p>
    <w:p w14:paraId="77A09F43" w14:textId="77777777" w:rsidR="0098530D" w:rsidRPr="00AB7CA1" w:rsidRDefault="0098530D" w:rsidP="0098530D">
      <w:pPr>
        <w:pStyle w:val="Texto"/>
        <w:ind w:left="2736" w:hanging="1152"/>
      </w:pPr>
      <w:r w:rsidRPr="00AB7CA1">
        <w:tab/>
        <w:t>El artículo 8, primer párrafo de la Ley del ISR dispone que se consideran intereses para los efectos de dicha Ley, entre otros, la ganancia en la enajenación de bonos, valores y otros títulos de crédito, siempre que sean de los que se colocan entre el gran público inversionista, conforme a las reglas generales que al efecto expida el SAT.</w:t>
      </w:r>
    </w:p>
    <w:p w14:paraId="680AD063" w14:textId="77777777" w:rsidR="0098530D" w:rsidRPr="00AB7CA1" w:rsidRDefault="0098530D" w:rsidP="0098530D">
      <w:pPr>
        <w:pStyle w:val="Texto"/>
        <w:ind w:left="2736" w:hanging="1152"/>
      </w:pPr>
      <w:r w:rsidRPr="00AB7CA1">
        <w:tab/>
        <w:t>La regla 3.2.12., o bien, aquella que la sustituya, establece que, para los efectos de la Ley del ISR y su Reglamento, se consideran títulos valor que se colocan entre el gran público inversionista, aquéllos inscritos conforme a los artículos 85 y 90 de la LMV, en el Registro Nacional de Valores a cargo de la CNBV; así como los valores listados en el sistema internacional de cotizaciones de la Bolsa Mexicana de Valores o de la Bolsa Institucional de Valores.</w:t>
      </w:r>
    </w:p>
    <w:p w14:paraId="01E95A55" w14:textId="77777777" w:rsidR="0098530D" w:rsidRPr="00AB7CA1" w:rsidRDefault="0098530D" w:rsidP="0098530D">
      <w:pPr>
        <w:pStyle w:val="Texto"/>
        <w:ind w:left="2736" w:hanging="1152"/>
      </w:pPr>
      <w:r w:rsidRPr="00AB7CA1">
        <w:tab/>
        <w:t>Los artículos 62 y 63, primer párrafo de la LMV, señalan que los certificados bursátiles son títulos de crédito que representan la participación individual de sus tenedores en un crédito colectivo a cargo de personas morales o de un patrimonio afecto en fideicomiso, y que aquéllos que al efecto se emitan al amparo de un fideicomiso deberán denominarse certificados bursátiles fiduciarios. Algunos certificados bursátiles fiduciarios son conocidos bursátilmente como certificados de capital de desarrollo o CCD por sus siglas.</w:t>
      </w:r>
    </w:p>
    <w:p w14:paraId="703B25B9" w14:textId="77777777" w:rsidR="0098530D" w:rsidRPr="00AB7CA1" w:rsidRDefault="0098530D" w:rsidP="0098530D">
      <w:pPr>
        <w:pStyle w:val="Texto"/>
        <w:ind w:left="2736" w:hanging="1152"/>
      </w:pPr>
      <w:r w:rsidRPr="00AB7CA1">
        <w:tab/>
        <w:t>En consecuencia, para los efectos de la Ley del ISR y conforme a la regla 3.2.12., o bien, aquella que la sustituya, se considera interés la ganancia en la enajenación de certificados bursátiles fiduciarios colocados entre el gran público inversionista.</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670990CC"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82328EA" w14:textId="77777777" w:rsidR="0098530D" w:rsidRPr="00AB7CA1" w:rsidRDefault="0098530D" w:rsidP="00552502">
            <w:pPr>
              <w:pStyle w:val="Texto"/>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7E56967" w14:textId="77777777" w:rsidR="0098530D" w:rsidRPr="00AB7CA1" w:rsidRDefault="0098530D" w:rsidP="00552502">
            <w:pPr>
              <w:pStyle w:val="Texto"/>
              <w:ind w:firstLine="0"/>
              <w:jc w:val="center"/>
              <w:rPr>
                <w:b/>
              </w:rPr>
            </w:pPr>
            <w:r w:rsidRPr="00AB7CA1">
              <w:rPr>
                <w:b/>
              </w:rPr>
              <w:t>Primer antecedente</w:t>
            </w:r>
          </w:p>
        </w:tc>
      </w:tr>
      <w:tr w:rsidR="0098530D" w:rsidRPr="00AB7CA1" w14:paraId="2052608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504D007" w14:textId="77777777" w:rsidR="0098530D" w:rsidRPr="00AB7CA1" w:rsidRDefault="0098530D" w:rsidP="00552502">
            <w:pPr>
              <w:pStyle w:val="Texto"/>
              <w:ind w:firstLine="0"/>
            </w:pPr>
            <w:r w:rsidRPr="00AB7CA1">
              <w:t>2010</w:t>
            </w:r>
          </w:p>
        </w:tc>
        <w:tc>
          <w:tcPr>
            <w:tcW w:w="3237" w:type="pct"/>
            <w:tcBorders>
              <w:top w:val="single" w:sz="6" w:space="0" w:color="auto"/>
              <w:left w:val="single" w:sz="6" w:space="0" w:color="auto"/>
              <w:bottom w:val="single" w:sz="6" w:space="0" w:color="auto"/>
              <w:right w:val="single" w:sz="6" w:space="0" w:color="auto"/>
            </w:tcBorders>
          </w:tcPr>
          <w:p w14:paraId="54AD884A" w14:textId="77777777" w:rsidR="0098530D" w:rsidRPr="00AB7CA1" w:rsidRDefault="0098530D" w:rsidP="00552502">
            <w:pPr>
              <w:pStyle w:val="Texto"/>
              <w:ind w:firstLine="0"/>
            </w:pPr>
            <w:r w:rsidRPr="00AB7CA1">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45/2010/ISR.</w:t>
            </w:r>
          </w:p>
        </w:tc>
      </w:tr>
    </w:tbl>
    <w:p w14:paraId="134D756F" w14:textId="77777777" w:rsidR="0098530D" w:rsidRPr="00AB7CA1" w:rsidRDefault="0098530D" w:rsidP="0098530D">
      <w:pPr>
        <w:pStyle w:val="Texto"/>
        <w:ind w:left="2736" w:hanging="1152"/>
        <w:rPr>
          <w:b/>
        </w:rPr>
      </w:pPr>
    </w:p>
    <w:p w14:paraId="1D9ECFC2" w14:textId="77777777" w:rsidR="0098530D" w:rsidRPr="00AB7CA1" w:rsidRDefault="0098530D" w:rsidP="0098530D">
      <w:pPr>
        <w:pStyle w:val="Texto"/>
        <w:ind w:left="2736" w:hanging="1152"/>
        <w:rPr>
          <w:b/>
          <w:lang w:val="es-ES_tradnl"/>
        </w:rPr>
      </w:pPr>
      <w:r w:rsidRPr="00AB7CA1">
        <w:rPr>
          <w:b/>
        </w:rPr>
        <w:t>8/ISR/N</w:t>
      </w:r>
      <w:r w:rsidRPr="00AB7CA1">
        <w:rPr>
          <w:b/>
        </w:rPr>
        <w:tab/>
      </w:r>
      <w:r w:rsidRPr="00AB7CA1">
        <w:rPr>
          <w:b/>
          <w:lang w:val="es-ES_tradnl"/>
        </w:rPr>
        <w:t>ISR por dividendos o utilidades. Casos en los cuales las personas morales no deberán calcular el impuesto por los montos que se consideran dividendos o utilidades distribuidos.</w:t>
      </w:r>
    </w:p>
    <w:p w14:paraId="7095144C" w14:textId="77777777" w:rsidR="0098530D" w:rsidRPr="00AB7CA1" w:rsidRDefault="0098530D" w:rsidP="0098530D">
      <w:pPr>
        <w:pStyle w:val="Texto"/>
        <w:ind w:left="2736" w:hanging="1152"/>
      </w:pPr>
      <w:r w:rsidRPr="00AB7CA1">
        <w:rPr>
          <w:b/>
          <w:lang w:val="es-ES_tradnl"/>
        </w:rPr>
        <w:tab/>
      </w:r>
      <w:r w:rsidRPr="00AB7CA1">
        <w:t>El artículo 10, primer párrafo, primera oración de la Ley del ISR establece que las personas morales que distribuyan dividendos o utilidades, deberán calcular y enterar el impuesto que corresponda a los mismos.</w:t>
      </w:r>
    </w:p>
    <w:p w14:paraId="2238AB1C" w14:textId="77777777" w:rsidR="0098530D" w:rsidRPr="00AB7CA1" w:rsidRDefault="0098530D" w:rsidP="0098530D">
      <w:pPr>
        <w:pStyle w:val="Texto"/>
        <w:ind w:left="2736" w:hanging="1152"/>
      </w:pPr>
      <w:r w:rsidRPr="00AB7CA1">
        <w:lastRenderedPageBreak/>
        <w:tab/>
        <w:t>El mismo artículo, en su último párrafo, dispone que las personas morales que distribuyan los dividendos o utilidades a que se refiere el artículo 140, fracciones I y II de la Ley citada, calcularán el impuesto sobre dichos dividendos o utilidades.</w:t>
      </w:r>
    </w:p>
    <w:p w14:paraId="7309229E" w14:textId="77777777" w:rsidR="0098530D" w:rsidRPr="00AB7CA1" w:rsidRDefault="0098530D" w:rsidP="0098530D">
      <w:pPr>
        <w:pStyle w:val="Texto"/>
        <w:ind w:left="2736" w:hanging="1152"/>
      </w:pPr>
      <w:r w:rsidRPr="00AB7CA1">
        <w:tab/>
        <w:t>En este sentido, las personas morales que actualicen los supuestos previstos en el artículo 140, fracciones III, IV, V y VI de la Ley del ISR, no deberán calcular el citado impuesto sobre los montos que se consideran dividendos o utilidades distribuidos, ya que el artículo 10, último párrafo de la Ley en cita no les confiere dicha obligación.</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651113B0"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4081F23F" w14:textId="77777777" w:rsidR="0098530D" w:rsidRPr="00AB7CA1" w:rsidRDefault="0098530D" w:rsidP="00552502">
            <w:pPr>
              <w:pStyle w:val="Texto"/>
              <w:spacing w:after="80" w:line="212"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43735A0" w14:textId="77777777" w:rsidR="0098530D" w:rsidRPr="00AB7CA1" w:rsidRDefault="0098530D" w:rsidP="00552502">
            <w:pPr>
              <w:pStyle w:val="Texto"/>
              <w:spacing w:after="80" w:line="212" w:lineRule="exact"/>
              <w:ind w:firstLine="0"/>
              <w:jc w:val="center"/>
              <w:rPr>
                <w:b/>
              </w:rPr>
            </w:pPr>
            <w:r w:rsidRPr="00AB7CA1">
              <w:rPr>
                <w:b/>
              </w:rPr>
              <w:t>Primer antecedente</w:t>
            </w:r>
          </w:p>
        </w:tc>
      </w:tr>
      <w:tr w:rsidR="0098530D" w:rsidRPr="00AB7CA1" w14:paraId="4B6748F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5B2D3B99" w14:textId="77777777" w:rsidR="0098530D" w:rsidRPr="00AB7CA1" w:rsidRDefault="0098530D" w:rsidP="00552502">
            <w:pPr>
              <w:pStyle w:val="Texto"/>
              <w:spacing w:after="80" w:line="212" w:lineRule="exact"/>
              <w:ind w:firstLine="0"/>
            </w:pPr>
            <w:r w:rsidRPr="00AB7CA1">
              <w:t>2010</w:t>
            </w:r>
          </w:p>
        </w:tc>
        <w:tc>
          <w:tcPr>
            <w:tcW w:w="3237" w:type="pct"/>
            <w:tcBorders>
              <w:top w:val="single" w:sz="6" w:space="0" w:color="auto"/>
              <w:left w:val="single" w:sz="6" w:space="0" w:color="auto"/>
              <w:bottom w:val="single" w:sz="6" w:space="0" w:color="auto"/>
              <w:right w:val="single" w:sz="6" w:space="0" w:color="auto"/>
            </w:tcBorders>
          </w:tcPr>
          <w:p w14:paraId="715455AA" w14:textId="77777777" w:rsidR="0098530D" w:rsidRPr="00AB7CA1" w:rsidRDefault="0098530D" w:rsidP="00552502">
            <w:pPr>
              <w:pStyle w:val="Texto"/>
              <w:spacing w:after="80" w:line="212" w:lineRule="exact"/>
              <w:ind w:firstLine="0"/>
            </w:pPr>
            <w:r w:rsidRPr="00AB7CA1">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46/2010/ISR.</w:t>
            </w:r>
          </w:p>
        </w:tc>
      </w:tr>
    </w:tbl>
    <w:p w14:paraId="54678027" w14:textId="77777777" w:rsidR="0098530D" w:rsidRPr="00AB7CA1" w:rsidRDefault="0098530D" w:rsidP="0098530D">
      <w:pPr>
        <w:pStyle w:val="Texto"/>
        <w:spacing w:after="80" w:line="212" w:lineRule="exact"/>
        <w:rPr>
          <w:b/>
        </w:rPr>
      </w:pPr>
    </w:p>
    <w:p w14:paraId="21AC3023" w14:textId="77777777" w:rsidR="0098530D" w:rsidRPr="00AB7CA1" w:rsidRDefault="0098530D" w:rsidP="0098530D">
      <w:pPr>
        <w:pStyle w:val="Texto"/>
        <w:spacing w:after="80" w:line="212" w:lineRule="exact"/>
        <w:ind w:left="2736" w:hanging="1152"/>
        <w:rPr>
          <w:b/>
          <w:lang w:val="es-ES_tradnl"/>
        </w:rPr>
      </w:pPr>
      <w:r w:rsidRPr="00AB7CA1">
        <w:rPr>
          <w:b/>
        </w:rPr>
        <w:t>9/ISR/N</w:t>
      </w:r>
      <w:r w:rsidRPr="00AB7CA1">
        <w:rPr>
          <w:b/>
        </w:rPr>
        <w:tab/>
      </w:r>
      <w:r w:rsidRPr="00AB7CA1">
        <w:rPr>
          <w:b/>
          <w:lang w:val="es-ES_tradnl"/>
        </w:rPr>
        <w:t>ISR por dividendos o utilidades. Orden en el que se efectuará su acreditamiento.</w:t>
      </w:r>
    </w:p>
    <w:p w14:paraId="65BF6BA1" w14:textId="77777777" w:rsidR="0098530D" w:rsidRPr="00AB7CA1" w:rsidRDefault="0098530D" w:rsidP="0098530D">
      <w:pPr>
        <w:pStyle w:val="Texto"/>
        <w:spacing w:after="80" w:line="212" w:lineRule="exact"/>
        <w:ind w:left="2736" w:hanging="1152"/>
      </w:pPr>
      <w:r w:rsidRPr="00AB7CA1">
        <w:rPr>
          <w:b/>
          <w:lang w:val="es-ES_tradnl"/>
        </w:rPr>
        <w:tab/>
      </w:r>
      <w:r w:rsidRPr="00AB7CA1">
        <w:t xml:space="preserve">El artículo </w:t>
      </w:r>
      <w:r w:rsidRPr="00AB7CA1">
        <w:rPr>
          <w:lang w:val="es-ES_tradnl"/>
        </w:rPr>
        <w:t xml:space="preserve">10, quinto párrafo, fracción </w:t>
      </w:r>
      <w:r w:rsidRPr="00AB7CA1">
        <w:t>I, primer párrafo de la Ley del ISR, dispone que cuando las personas morales distribuyan dividendos o utilidades y como consecuencia de ello, paguen el impuesto que establece el artículo citado, podrán efectuar el acreditamiento correspondiente únicamente contra el ISR del ejercicio que resulte a cargo de la persona moral en el ejercicio en el que se haya efectuado el pago del impuesto correspondiente a los dividendos o utilidades distribuidos.</w:t>
      </w:r>
    </w:p>
    <w:p w14:paraId="7B90F32D" w14:textId="77777777" w:rsidR="0098530D" w:rsidRPr="00AB7CA1" w:rsidRDefault="0098530D" w:rsidP="0098530D">
      <w:pPr>
        <w:pStyle w:val="Texto"/>
        <w:spacing w:after="80" w:line="212" w:lineRule="exact"/>
        <w:ind w:left="2736" w:hanging="1152"/>
      </w:pPr>
      <w:r w:rsidRPr="00AB7CA1">
        <w:tab/>
        <w:t xml:space="preserve">Cabe señalar que la disposición en cita es reiteración del texto del </w:t>
      </w:r>
      <w:r w:rsidRPr="00AB7CA1">
        <w:rPr>
          <w:lang w:val="es-ES_tradnl"/>
        </w:rPr>
        <w:t>artículo 11, sexto párrafo, fracción</w:t>
      </w:r>
      <w:r w:rsidRPr="00AB7CA1">
        <w:t xml:space="preserve"> I, primer párrafo de la Ley del ISR vigente hasta el 31 de diciembre de 2013. En relación con este precepto, se comenta que en el Dictamen de la Comisión de Hacienda y Crédito Público para reformar dicha Ley para el 2003, se consideró conveniente modificar el esquema de acreditamiento, para permitir a los contribuyentes efectuar el acreditamiento del ISR pagado por la distribución de dividendos o utilidades, contra el impuesto causado en el mismo ejercicio y en los dos siguientes.</w:t>
      </w:r>
    </w:p>
    <w:p w14:paraId="02CDF093" w14:textId="77777777" w:rsidR="0098530D" w:rsidRPr="00AB7CA1" w:rsidRDefault="0098530D" w:rsidP="0098530D">
      <w:pPr>
        <w:pStyle w:val="Texto"/>
        <w:spacing w:after="80" w:line="212" w:lineRule="exact"/>
        <w:ind w:left="2736" w:hanging="1152"/>
      </w:pPr>
      <w:r w:rsidRPr="00AB7CA1">
        <w:tab/>
        <w:t xml:space="preserve">En este sentido, se advierte que el legislador equiparó el concepto ISR del ejercicio que resulte a cargo a que se refiere el </w:t>
      </w:r>
      <w:r w:rsidRPr="00AB7CA1">
        <w:rPr>
          <w:lang w:val="es-ES_tradnl"/>
        </w:rPr>
        <w:t xml:space="preserve">artículo 10, quinto párrafo, fracción </w:t>
      </w:r>
      <w:r w:rsidRPr="00AB7CA1">
        <w:t xml:space="preserve">I, primer párrafo de la Ley del ISR vigente, con el de impuesto causado, que se determina de conformidad con el artículo 9 de la Ley referida, dicha consideración quedó plasmada en el texto del artículo 10 antes señalado, el cual corresponde a la reproducción de manera idéntica del </w:t>
      </w:r>
      <w:r w:rsidRPr="00AB7CA1">
        <w:rPr>
          <w:lang w:val="es-ES_tradnl"/>
        </w:rPr>
        <w:t xml:space="preserve">artículo 11, sexto párrafo, fracción </w:t>
      </w:r>
      <w:r w:rsidRPr="00AB7CA1">
        <w:t>I, primer párrafo de la Ley del ISR vigente hasta el 31 de diciembre de 2013, por lo que prevalecen las razones que le dieron origen a la disposición.</w:t>
      </w:r>
    </w:p>
    <w:p w14:paraId="3192E82F" w14:textId="77777777" w:rsidR="0098530D" w:rsidRPr="00AB7CA1" w:rsidRDefault="0098530D" w:rsidP="0098530D">
      <w:pPr>
        <w:pStyle w:val="Texto"/>
        <w:spacing w:after="80" w:line="213" w:lineRule="exact"/>
        <w:ind w:left="2736" w:hanging="1152"/>
      </w:pPr>
      <w:r w:rsidRPr="00AB7CA1">
        <w:tab/>
        <w:t xml:space="preserve">En consecuencia, para efectos del </w:t>
      </w:r>
      <w:r w:rsidRPr="00AB7CA1">
        <w:rPr>
          <w:lang w:val="es-ES_tradnl"/>
        </w:rPr>
        <w:t xml:space="preserve">artículo 10, quinto párrafo, fracción </w:t>
      </w:r>
      <w:r w:rsidRPr="00AB7CA1">
        <w:t>I, primer párrafo de la Ley del ISR, el impuesto que resulte a cargo, contra el cual las personas morales pueden acreditar el impuesto pagado por la distribución de dividendos o utilidades, es aquel que resulta de aplicar la mecánica prevista en el artículo 9 de la Ley de la materia, antes de acreditar los pagos provisionales correspondientes.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45B5CAF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BE21011" w14:textId="77777777" w:rsidR="0098530D" w:rsidRPr="00AB7CA1" w:rsidRDefault="0098530D" w:rsidP="00552502">
            <w:pPr>
              <w:pStyle w:val="Texto"/>
              <w:spacing w:after="80" w:line="213"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A8F4779" w14:textId="77777777" w:rsidR="0098530D" w:rsidRPr="00AB7CA1" w:rsidRDefault="0098530D" w:rsidP="00552502">
            <w:pPr>
              <w:pStyle w:val="Texto"/>
              <w:spacing w:after="80" w:line="213" w:lineRule="exact"/>
              <w:ind w:firstLine="0"/>
              <w:jc w:val="center"/>
              <w:rPr>
                <w:b/>
              </w:rPr>
            </w:pPr>
            <w:r w:rsidRPr="00AB7CA1">
              <w:rPr>
                <w:b/>
              </w:rPr>
              <w:t>Primer antecedente</w:t>
            </w:r>
          </w:p>
        </w:tc>
      </w:tr>
      <w:tr w:rsidR="0098530D" w:rsidRPr="00AB7CA1" w14:paraId="58DF08F0"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A394A89" w14:textId="77777777" w:rsidR="0098530D" w:rsidRPr="00AB7CA1" w:rsidRDefault="0098530D" w:rsidP="00552502">
            <w:pPr>
              <w:pStyle w:val="Texto"/>
              <w:spacing w:after="80" w:line="213" w:lineRule="exact"/>
              <w:ind w:firstLine="0"/>
            </w:pPr>
            <w:r w:rsidRPr="00AB7CA1">
              <w:lastRenderedPageBreak/>
              <w:t>2012</w:t>
            </w:r>
          </w:p>
        </w:tc>
        <w:tc>
          <w:tcPr>
            <w:tcW w:w="3237" w:type="pct"/>
            <w:tcBorders>
              <w:top w:val="single" w:sz="6" w:space="0" w:color="auto"/>
              <w:left w:val="single" w:sz="6" w:space="0" w:color="auto"/>
              <w:bottom w:val="single" w:sz="6" w:space="0" w:color="auto"/>
              <w:right w:val="single" w:sz="6" w:space="0" w:color="auto"/>
            </w:tcBorders>
          </w:tcPr>
          <w:p w14:paraId="32ED68ED" w14:textId="77777777" w:rsidR="0098530D" w:rsidRPr="00AB7CA1" w:rsidRDefault="0098530D" w:rsidP="00552502">
            <w:pPr>
              <w:pStyle w:val="Texto"/>
              <w:spacing w:after="80" w:line="213" w:lineRule="exact"/>
              <w:ind w:firstLine="0"/>
            </w:pPr>
            <w:r w:rsidRPr="00AB7CA1">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48/2012/ISR.</w:t>
            </w:r>
          </w:p>
        </w:tc>
      </w:tr>
    </w:tbl>
    <w:p w14:paraId="7F66CBE8" w14:textId="77777777" w:rsidR="0098530D" w:rsidRPr="00AB7CA1" w:rsidRDefault="0098530D" w:rsidP="0098530D">
      <w:pPr>
        <w:pStyle w:val="Texto"/>
        <w:spacing w:after="80" w:line="213" w:lineRule="exact"/>
        <w:ind w:left="2736" w:hanging="1152"/>
        <w:rPr>
          <w:b/>
        </w:rPr>
      </w:pPr>
    </w:p>
    <w:p w14:paraId="25A972A0" w14:textId="77777777" w:rsidR="0098530D" w:rsidRPr="00AB7CA1" w:rsidRDefault="0098530D" w:rsidP="0098530D">
      <w:pPr>
        <w:pStyle w:val="Texto"/>
        <w:spacing w:after="80" w:line="213" w:lineRule="exact"/>
        <w:ind w:left="2736" w:hanging="1152"/>
        <w:rPr>
          <w:b/>
          <w:lang w:val="es-ES_tradnl"/>
        </w:rPr>
      </w:pPr>
      <w:r w:rsidRPr="00AB7CA1">
        <w:rPr>
          <w:b/>
        </w:rPr>
        <w:t>10/ISR/N</w:t>
      </w:r>
      <w:r w:rsidRPr="00AB7CA1">
        <w:rPr>
          <w:b/>
        </w:rPr>
        <w:tab/>
      </w:r>
      <w:r w:rsidRPr="00AB7CA1">
        <w:rPr>
          <w:b/>
          <w:lang w:val="es-ES_tradnl"/>
        </w:rPr>
        <w:t>Declaración del ejercicio del ISR. La fiduciaria no está obligada a presentarla por las actividades realizadas a través de un fideicomiso.</w:t>
      </w:r>
    </w:p>
    <w:p w14:paraId="709F3AF7" w14:textId="77777777" w:rsidR="0098530D" w:rsidRPr="00AB7CA1" w:rsidRDefault="0098530D" w:rsidP="0098530D">
      <w:pPr>
        <w:pStyle w:val="Texto"/>
        <w:spacing w:after="80" w:line="213" w:lineRule="exact"/>
        <w:ind w:left="2736" w:hanging="1152"/>
      </w:pPr>
      <w:r w:rsidRPr="00AB7CA1">
        <w:rPr>
          <w:b/>
          <w:lang w:val="es-ES_tradnl"/>
        </w:rPr>
        <w:tab/>
      </w:r>
      <w:r w:rsidRPr="00AB7CA1">
        <w:t>El artículo 13, primer párrafo de la Ley del ISR establece que cuando se realicen actividades empresariales a través de un fideicomiso, la fiduciaria determinará en los términos del Título II de la misma Ley, el resultado o la pérdida fiscal de dichas actividades en cada ejercicio y cumplirá por cuenta del conjunto de los fideicomisarios las obligaciones señaladas en dicha Ley, incluso la de efectuar pagos provisionales.</w:t>
      </w:r>
    </w:p>
    <w:p w14:paraId="27A60394" w14:textId="77777777" w:rsidR="0098530D" w:rsidRPr="00AB7CA1" w:rsidRDefault="0098530D" w:rsidP="0098530D">
      <w:pPr>
        <w:pStyle w:val="Texto"/>
        <w:spacing w:line="222" w:lineRule="exact"/>
        <w:ind w:left="2736" w:hanging="1152"/>
      </w:pPr>
      <w:r w:rsidRPr="00AB7CA1">
        <w:tab/>
        <w:t>El mismo artículo en su tercer párrafo, dispone que los fideicomisarios acumularán a sus demás ingresos del ejercicio, la parte del resultado fiscal de dicho ejercicio derivada de las actividades empresariales realizadas a través del fideicomiso que les corresponda, de acuerdo con lo estipulado en el contrato de fideicomiso y acreditarán en esa proporción el monto de los pagos provisionales efectuados por la fiduciaria. Asimismo, señala que la pérdida fiscal derivada de las actividades empresariales realizadas a través del fideicomiso solo podrá ser disminuida de las utilidades fiscales de ejercicios posteriores derivadas de las actividades realizadas a través de ese mismo fideicomiso en los términos del Título II, Capítulo V de la Ley</w:t>
      </w:r>
      <w:r>
        <w:t xml:space="preserve"> </w:t>
      </w:r>
      <w:r w:rsidRPr="00AB7CA1">
        <w:t>del ISR.</w:t>
      </w:r>
    </w:p>
    <w:p w14:paraId="26E40355" w14:textId="77777777" w:rsidR="0098530D" w:rsidRPr="00AB7CA1" w:rsidRDefault="0098530D" w:rsidP="0098530D">
      <w:pPr>
        <w:pStyle w:val="Texto"/>
        <w:spacing w:line="222" w:lineRule="exact"/>
        <w:ind w:left="2736" w:hanging="1152"/>
      </w:pPr>
      <w:r w:rsidRPr="00AB7CA1">
        <w:tab/>
        <w:t>El penúltimo párrafo del referido artículo determina que en los casos en que no se hayan designado fideicomisarios o estos no puedan identificarse, se entenderá que las actividades empresariales realizadas a través del fideicomiso las realiza el fideicomitente.</w:t>
      </w:r>
    </w:p>
    <w:p w14:paraId="1460A10F" w14:textId="77777777" w:rsidR="0098530D" w:rsidRPr="00AB7CA1" w:rsidRDefault="0098530D" w:rsidP="0098530D">
      <w:pPr>
        <w:pStyle w:val="Texto"/>
        <w:spacing w:line="222" w:lineRule="exact"/>
        <w:ind w:left="2736" w:hanging="1152"/>
      </w:pPr>
      <w:r w:rsidRPr="00AB7CA1">
        <w:tab/>
        <w:t>El artículo 76, fracción XIII del ordenamiento legal en cita prevé que las personas morales deben presentar, a más tardar el día 15 de febrero de cada año, declaración en la que proporcionen la información de las operaciones efectuadas en el año de calendario anterior, a través de fideicomisos por los que se realicen actividades empresariales en los que intervengan.</w:t>
      </w:r>
    </w:p>
    <w:p w14:paraId="5A0F735F" w14:textId="77777777" w:rsidR="0098530D" w:rsidRPr="00AB7CA1" w:rsidRDefault="0098530D" w:rsidP="0098530D">
      <w:pPr>
        <w:pStyle w:val="Texto"/>
        <w:spacing w:line="222" w:lineRule="exact"/>
        <w:ind w:left="2736" w:hanging="1152"/>
      </w:pPr>
      <w:r w:rsidRPr="00AB7CA1">
        <w:tab/>
        <w:t>Los artículos 117, segundo y tercer párrafos y 118, segundo párrafo de la multireferida Ley, señalan, entre otras, las obligaciones de la fiduciaria en las operaciones de fideicomiso por las que se otorgue el uso o goce temporal de bienes inmuebles, especificando que la institución fiduciaria efectuará pagos provisionales por los rendimientos y que deberá proporcionar a más tardar el 31 de enero de cada año a quienes correspondan los rendimientos, el comprobante fiscal de los mismos, de los pagos provisionales efectuados y de las deducciones correspondientes, al año de calendario anterior, y que será la institución fiduciaria quien lleve los libros de contabilidad, expida los comprobantes fiscales y efectúe los pagos provisionales.</w:t>
      </w:r>
    </w:p>
    <w:p w14:paraId="1DC9E2D3" w14:textId="77777777" w:rsidR="0098530D" w:rsidRPr="00AB7CA1" w:rsidRDefault="0098530D" w:rsidP="0098530D">
      <w:pPr>
        <w:pStyle w:val="Texto"/>
        <w:spacing w:line="222" w:lineRule="exact"/>
        <w:ind w:left="2736" w:hanging="1152"/>
      </w:pPr>
      <w:r w:rsidRPr="00AB7CA1">
        <w:tab/>
        <w:t>El artículo 158, cuarto párrafo de la supracitada Ley, contempla que será la institución fiduciaria quien expida los CFDI y efectúe la retención a que se refiere dicho artículo, tratándose de ingresos de residentes en el extranjero que perciban por otorgar el uso o goce temporal de bienes inmuebles ubicados en territorio nacional.</w:t>
      </w:r>
    </w:p>
    <w:p w14:paraId="650F6DED" w14:textId="77777777" w:rsidR="0098530D" w:rsidRPr="00AB7CA1" w:rsidRDefault="0098530D" w:rsidP="0098530D">
      <w:pPr>
        <w:pStyle w:val="Texto"/>
        <w:spacing w:line="222" w:lineRule="exact"/>
        <w:ind w:left="2736" w:hanging="1152"/>
      </w:pPr>
      <w:r w:rsidRPr="00AB7CA1">
        <w:tab/>
        <w:t>Igualmente, los artículos 187, 188, 192 y 193 de la Ley del ISR, establecen el tratamiento fiscal aplicable a ciertas operaciones realizadas a través de fideicomisos sin imputar a la fiduciaria la obligación de presentar la declaración del ejercicio.</w:t>
      </w:r>
    </w:p>
    <w:p w14:paraId="1BF8FC8F" w14:textId="77777777" w:rsidR="0098530D" w:rsidRPr="00AB7CA1" w:rsidRDefault="0098530D" w:rsidP="0098530D">
      <w:pPr>
        <w:pStyle w:val="Texto"/>
        <w:spacing w:line="222" w:lineRule="exact"/>
        <w:ind w:left="2736" w:hanging="1152"/>
      </w:pPr>
      <w:r w:rsidRPr="00AB7CA1">
        <w:lastRenderedPageBreak/>
        <w:tab/>
        <w:t>Del artículo Noveno, fracción X de las Disposiciones Transitorias de la Ley del ISR, del Decreto por el que se reforman, adicionan y derogan diversas disposiciones de la Ley del IVA; de la Ley del IEPS; de la LFD, se expide la Ley del ISR, y se abrogan la Ley del Impuesto Empresarial a Tasa Única, y la Ley del IDE, publicado en el DOF el día 11 de diciembre de 2013, se desprende que la institución fiduciaria presentará ante las oficinas autorizadas, a más tardar el 15 de febrero de cada año, declaración proporcionando información sobre el nombre, clave en el RFC, rendimientos, pagos provisionales efectuados y deducciones, relacionados con cada una de las personas a las que les correspondan los rendimientos durante el año de calendario anterior.</w:t>
      </w:r>
    </w:p>
    <w:p w14:paraId="39FDBD29" w14:textId="77777777" w:rsidR="0098530D" w:rsidRPr="00AB7CA1" w:rsidRDefault="0098530D" w:rsidP="0098530D">
      <w:pPr>
        <w:pStyle w:val="Texto"/>
        <w:spacing w:line="222" w:lineRule="exact"/>
        <w:ind w:left="2736" w:hanging="1152"/>
      </w:pPr>
      <w:r w:rsidRPr="00AB7CA1">
        <w:tab/>
        <w:t>El artículo 32-B, fracción VIII del CFF, establece la obligación de las entidades financieras y sociedades cooperativas de ahorro y préstamo cuando participen como fiduciarias en fideicomisos por los que se generen ingresos, de presentar por cada uno de dichos fideicomisos diversa información.</w:t>
      </w:r>
    </w:p>
    <w:p w14:paraId="564EA51C" w14:textId="77777777" w:rsidR="0098530D" w:rsidRPr="00AB7CA1" w:rsidRDefault="0098530D" w:rsidP="0098530D">
      <w:pPr>
        <w:pStyle w:val="Texto"/>
        <w:spacing w:after="80" w:line="213" w:lineRule="exact"/>
        <w:ind w:left="2736" w:hanging="1152"/>
      </w:pPr>
      <w:r w:rsidRPr="00AB7CA1">
        <w:tab/>
        <w:t>En ese sentido, al no señalar las disposiciones legales antes transcritas expresamente la obligación, la fiduciaria no debe presentar la declaración del ejercicio del ISR por las actividades empresariales realizadas a través de un fideicomiso.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5466B2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2210D7F" w14:textId="77777777" w:rsidR="0098530D" w:rsidRPr="00AB7CA1" w:rsidRDefault="0098530D" w:rsidP="00552502">
            <w:pPr>
              <w:pStyle w:val="Texto"/>
              <w:spacing w:after="80" w:line="213"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90F914F" w14:textId="77777777" w:rsidR="0098530D" w:rsidRPr="00AB7CA1" w:rsidRDefault="0098530D" w:rsidP="00552502">
            <w:pPr>
              <w:pStyle w:val="Texto"/>
              <w:spacing w:after="80" w:line="213" w:lineRule="exact"/>
              <w:ind w:firstLine="0"/>
              <w:jc w:val="center"/>
              <w:rPr>
                <w:b/>
              </w:rPr>
            </w:pPr>
            <w:r w:rsidRPr="00AB7CA1">
              <w:rPr>
                <w:b/>
              </w:rPr>
              <w:t>Primer antecedente</w:t>
            </w:r>
          </w:p>
        </w:tc>
      </w:tr>
      <w:tr w:rsidR="0098530D" w:rsidRPr="00AB7CA1" w14:paraId="229FE43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98A7144" w14:textId="77777777" w:rsidR="0098530D" w:rsidRPr="00AB7CA1" w:rsidRDefault="0098530D" w:rsidP="00552502">
            <w:pPr>
              <w:pStyle w:val="Texto"/>
              <w:spacing w:after="80" w:line="213" w:lineRule="exact"/>
              <w:ind w:firstLine="0"/>
            </w:pPr>
            <w:r w:rsidRPr="00AB7CA1">
              <w:t>2009</w:t>
            </w:r>
          </w:p>
        </w:tc>
        <w:tc>
          <w:tcPr>
            <w:tcW w:w="3237" w:type="pct"/>
            <w:tcBorders>
              <w:top w:val="single" w:sz="6" w:space="0" w:color="auto"/>
              <w:left w:val="single" w:sz="6" w:space="0" w:color="auto"/>
              <w:bottom w:val="single" w:sz="6" w:space="0" w:color="auto"/>
              <w:right w:val="single" w:sz="6" w:space="0" w:color="auto"/>
            </w:tcBorders>
          </w:tcPr>
          <w:p w14:paraId="5F282853" w14:textId="77777777" w:rsidR="0098530D" w:rsidRPr="00AB7CA1" w:rsidRDefault="0098530D" w:rsidP="00552502">
            <w:pPr>
              <w:pStyle w:val="Texto"/>
              <w:spacing w:after="80" w:line="213" w:lineRule="exact"/>
              <w:ind w:firstLine="0"/>
            </w:pPr>
            <w:r w:rsidRPr="00AB7CA1">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50/2009/ISR.</w:t>
            </w:r>
          </w:p>
        </w:tc>
      </w:tr>
    </w:tbl>
    <w:p w14:paraId="6B024F84" w14:textId="77777777" w:rsidR="0098530D" w:rsidRPr="00AB7CA1" w:rsidRDefault="0098530D" w:rsidP="0098530D">
      <w:pPr>
        <w:pStyle w:val="Texto"/>
        <w:spacing w:after="80" w:line="213" w:lineRule="exact"/>
        <w:ind w:left="2736" w:hanging="1152"/>
        <w:rPr>
          <w:b/>
        </w:rPr>
      </w:pPr>
    </w:p>
    <w:p w14:paraId="52B176BC" w14:textId="77777777" w:rsidR="0098530D" w:rsidRPr="00AB7CA1" w:rsidRDefault="0098530D" w:rsidP="0098530D">
      <w:pPr>
        <w:pStyle w:val="Texto"/>
        <w:spacing w:after="80" w:line="213" w:lineRule="exact"/>
        <w:ind w:left="2736" w:hanging="1152"/>
        <w:rPr>
          <w:b/>
        </w:rPr>
      </w:pPr>
      <w:r w:rsidRPr="00AB7CA1">
        <w:rPr>
          <w:b/>
        </w:rPr>
        <w:t>11/ISR/N</w:t>
      </w:r>
      <w:r w:rsidRPr="00AB7CA1">
        <w:rPr>
          <w:b/>
        </w:rPr>
        <w:tab/>
        <w:t>Determinación del reparto adicional de participación de utilidades a los trabajadores de las empresas. Las autoridades fiscales no están obligadas a verificar la existencia de relación laboral alguna.</w:t>
      </w:r>
    </w:p>
    <w:p w14:paraId="7D24E6D4" w14:textId="77777777" w:rsidR="0098530D" w:rsidRPr="00AB7CA1" w:rsidRDefault="0098530D" w:rsidP="0098530D">
      <w:pPr>
        <w:pStyle w:val="Texto"/>
        <w:spacing w:after="80" w:line="213" w:lineRule="exact"/>
        <w:ind w:left="2736" w:hanging="1152"/>
      </w:pPr>
      <w:r w:rsidRPr="00AB7CA1">
        <w:rPr>
          <w:b/>
        </w:rPr>
        <w:tab/>
      </w:r>
      <w:r w:rsidRPr="00AB7CA1">
        <w:t>Los artículos 9, penúltimo y último párrafos y 109, antepenúltimo, penúltimo y último párrafos de la Ley del ISR establecen el procedimiento para determinar la renta gravable para la participación de los trabajadores en las utilidades de las empresas.</w:t>
      </w:r>
    </w:p>
    <w:p w14:paraId="0BB85FBC" w14:textId="77777777" w:rsidR="0098530D" w:rsidRPr="00AB7CA1" w:rsidRDefault="0098530D" w:rsidP="0098530D">
      <w:pPr>
        <w:pStyle w:val="Texto"/>
        <w:spacing w:after="80" w:line="213" w:lineRule="exact"/>
        <w:ind w:left="2736" w:hanging="1152"/>
      </w:pPr>
      <w:r w:rsidRPr="00AB7CA1">
        <w:tab/>
        <w:t>De conformidad con los artículos 121 y 122 de la Ley Federal del Trabajo, la determinación de reparto de utilidades por parte de la autoridad fiscal resulta procedente, sin que sea requisito el que se compruebe que la persona a la cual se le efectúa una visita domiciliaria tenga trabajadores.</w:t>
      </w:r>
    </w:p>
    <w:p w14:paraId="3B3D6792" w14:textId="77777777" w:rsidR="0098530D" w:rsidRPr="00AB7CA1" w:rsidRDefault="0098530D" w:rsidP="0098530D">
      <w:pPr>
        <w:pStyle w:val="Texto"/>
        <w:spacing w:after="80" w:line="213" w:lineRule="exact"/>
        <w:ind w:left="2736" w:hanging="1152"/>
      </w:pPr>
      <w:r w:rsidRPr="00AB7CA1">
        <w:tab/>
        <w:t>Lo anterior, debido a que los artículos 523 y 526 de la Ley en comento establecen la competencia del SAT para la aplicación de normas de trabajo e intervenir en cuestiones relacionadas con la participación de los trabajadores en las utilidades de las empresas, otorgándole la facultad de determinar repartos adicionales, sin señalar que la autoridad fiscal deba verificar la existencia de trabajadores.</w:t>
      </w:r>
    </w:p>
    <w:p w14:paraId="3DBB0F53" w14:textId="77777777" w:rsidR="0098530D" w:rsidRPr="00AB7CA1" w:rsidRDefault="0098530D" w:rsidP="0098530D">
      <w:pPr>
        <w:pStyle w:val="Texto"/>
        <w:spacing w:after="80" w:line="213" w:lineRule="exact"/>
        <w:ind w:left="2736" w:hanging="1152"/>
      </w:pPr>
      <w:r w:rsidRPr="00AB7CA1">
        <w:tab/>
        <w:t>En efecto, en caso de que se determine que la base gravable de las empresas es mayor, se procederá a ordenar las liquidaciones del impuesto omitido y la procedencia de hacer un reparto adicional de utilidades a los trabajadores, no siendo competencia de la autoridad fiscal el comprobar la existencia de alguna relación laboral y el pago del reparto adicional de utilidades.</w:t>
      </w:r>
    </w:p>
    <w:p w14:paraId="4C47C156" w14:textId="77777777" w:rsidR="0098530D" w:rsidRPr="00AB7CA1" w:rsidRDefault="0098530D" w:rsidP="0098530D">
      <w:pPr>
        <w:pStyle w:val="Texto"/>
        <w:spacing w:after="80" w:line="214" w:lineRule="exact"/>
        <w:ind w:left="2736" w:hanging="1152"/>
      </w:pPr>
      <w:r w:rsidRPr="00AB7CA1">
        <w:tab/>
        <w:t xml:space="preserve">No obstante, cuando de conformidad con las disposiciones legales aplicables, el empleador y los trabajadores pacten, en los contratos colectivos de trabajo, condiciones diversas relacionadas con el reparto de utilidades, las autoridades fiscales deberán tomar en cuenta dichas estipulaciones al </w:t>
      </w:r>
      <w:r w:rsidRPr="00AB7CA1">
        <w:lastRenderedPageBreak/>
        <w:t>momento de ejercer sus facultades de comprobación relacionadas con la participación a los trabajadores en las utilidades de las empresas.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4BDE8865"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77D0E671" w14:textId="77777777" w:rsidR="0098530D" w:rsidRPr="00AB7CA1" w:rsidRDefault="0098530D" w:rsidP="00552502">
            <w:pPr>
              <w:pStyle w:val="Texto"/>
              <w:spacing w:after="80" w:line="214"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42573F7" w14:textId="77777777" w:rsidR="0098530D" w:rsidRPr="00AB7CA1" w:rsidRDefault="0098530D" w:rsidP="00552502">
            <w:pPr>
              <w:pStyle w:val="Texto"/>
              <w:spacing w:after="80" w:line="214" w:lineRule="exact"/>
              <w:ind w:firstLine="0"/>
              <w:jc w:val="center"/>
              <w:rPr>
                <w:b/>
              </w:rPr>
            </w:pPr>
            <w:r w:rsidRPr="00AB7CA1">
              <w:rPr>
                <w:b/>
              </w:rPr>
              <w:t>Primer antecedente</w:t>
            </w:r>
          </w:p>
        </w:tc>
      </w:tr>
      <w:tr w:rsidR="0098530D" w:rsidRPr="00AB7CA1" w14:paraId="6658B636"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3237757" w14:textId="77777777" w:rsidR="0098530D" w:rsidRPr="00AB7CA1" w:rsidRDefault="0098530D" w:rsidP="00552502">
            <w:pPr>
              <w:pStyle w:val="Texto"/>
              <w:spacing w:after="80" w:line="214" w:lineRule="exact"/>
              <w:ind w:firstLine="0"/>
            </w:pPr>
            <w:r w:rsidRPr="00AB7CA1">
              <w:t>13/2001/CFF</w:t>
            </w:r>
          </w:p>
        </w:tc>
        <w:tc>
          <w:tcPr>
            <w:tcW w:w="3237" w:type="pct"/>
            <w:tcBorders>
              <w:top w:val="single" w:sz="6" w:space="0" w:color="auto"/>
              <w:left w:val="single" w:sz="6" w:space="0" w:color="auto"/>
              <w:bottom w:val="single" w:sz="6" w:space="0" w:color="auto"/>
              <w:right w:val="single" w:sz="6" w:space="0" w:color="auto"/>
            </w:tcBorders>
          </w:tcPr>
          <w:p w14:paraId="72A6069D" w14:textId="77777777" w:rsidR="0098530D" w:rsidRPr="00AB7CA1" w:rsidRDefault="0098530D" w:rsidP="00552502">
            <w:pPr>
              <w:pStyle w:val="Texto"/>
              <w:spacing w:after="80" w:line="214" w:lineRule="exact"/>
              <w:ind w:firstLine="0"/>
            </w:pPr>
            <w:r w:rsidRPr="00AB7CA1">
              <w:t>Oficio 325-SAT-A-31123 de 14 de septiembre de 2001, mediante el cual se da a conocer la nueva Compilación de Criterios Normativos 2001.</w:t>
            </w:r>
          </w:p>
        </w:tc>
      </w:tr>
    </w:tbl>
    <w:p w14:paraId="74531526" w14:textId="77777777" w:rsidR="0098530D" w:rsidRPr="00AB7CA1" w:rsidRDefault="0098530D" w:rsidP="0098530D">
      <w:pPr>
        <w:pStyle w:val="Texto"/>
        <w:spacing w:after="80" w:line="214" w:lineRule="exact"/>
        <w:ind w:left="2736" w:hanging="1152"/>
        <w:rPr>
          <w:b/>
        </w:rPr>
      </w:pPr>
    </w:p>
    <w:p w14:paraId="325F4359" w14:textId="77777777" w:rsidR="0098530D" w:rsidRPr="00AB7CA1" w:rsidRDefault="0098530D" w:rsidP="0098530D">
      <w:pPr>
        <w:pStyle w:val="Texto"/>
        <w:spacing w:after="80" w:line="214" w:lineRule="exact"/>
        <w:ind w:left="2736" w:hanging="1152"/>
        <w:rPr>
          <w:b/>
        </w:rPr>
      </w:pPr>
      <w:r w:rsidRPr="00AB7CA1">
        <w:rPr>
          <w:b/>
        </w:rPr>
        <w:t>12/ISR/N</w:t>
      </w:r>
      <w:r w:rsidRPr="00AB7CA1">
        <w:rPr>
          <w:b/>
        </w:rPr>
        <w:tab/>
        <w:t>Ingresos acumulables por la prestación del servicio de emisión de vales o monederos electrónicos.</w:t>
      </w:r>
    </w:p>
    <w:p w14:paraId="0BA78095" w14:textId="77777777" w:rsidR="0098530D" w:rsidRPr="00AB7CA1" w:rsidRDefault="0098530D" w:rsidP="0098530D">
      <w:pPr>
        <w:pStyle w:val="Texto"/>
        <w:spacing w:after="80" w:line="214" w:lineRule="exact"/>
        <w:ind w:left="2736" w:hanging="1152"/>
      </w:pPr>
      <w:r w:rsidRPr="00AB7CA1">
        <w:rPr>
          <w:b/>
        </w:rPr>
        <w:tab/>
      </w:r>
      <w:r w:rsidRPr="00AB7CA1">
        <w:t>El artículo 16, primer párrafo de la Ley del ISR dispone que las personas morales residentes en el país acumularán la totalidad de los ingresos en efectivo, en bienes, en servicio, en crédito o de cualquier otro tipo, que obtengan en el ejercicio, esto es, establece un concepto de ingreso de carácter amplio e incluyente de todos los conceptos que modifiquen positivamente el patrimonio del contribuyente.</w:t>
      </w:r>
    </w:p>
    <w:p w14:paraId="33FC800A" w14:textId="77777777" w:rsidR="0098530D" w:rsidRPr="00AB7CA1" w:rsidRDefault="0098530D" w:rsidP="0098530D">
      <w:pPr>
        <w:pStyle w:val="Texto"/>
        <w:spacing w:line="238" w:lineRule="exact"/>
        <w:ind w:left="2736" w:hanging="1152"/>
      </w:pPr>
      <w:r w:rsidRPr="00AB7CA1">
        <w:tab/>
        <w:t>Dado lo anterior, se considera que el patrimonio de las personas morales que prestan el servicio de emisión de vales o monederos electrónicos, se modifica positivamente cuando perciben ingresos por los conceptos siguientes:</w:t>
      </w:r>
    </w:p>
    <w:p w14:paraId="78C8C40A" w14:textId="77777777" w:rsidR="0098530D" w:rsidRPr="00AB7CA1" w:rsidRDefault="0098530D" w:rsidP="0098530D">
      <w:pPr>
        <w:pStyle w:val="Texto"/>
        <w:spacing w:line="238" w:lineRule="exact"/>
        <w:ind w:left="3312" w:hanging="576"/>
      </w:pPr>
      <w:r w:rsidRPr="00AB7CA1">
        <w:rPr>
          <w:b/>
        </w:rPr>
        <w:t>I.</w:t>
      </w:r>
      <w:r w:rsidRPr="00AB7CA1">
        <w:rPr>
          <w:b/>
        </w:rPr>
        <w:tab/>
      </w:r>
      <w:r w:rsidRPr="00AB7CA1">
        <w:t>El monto de la contraprestación por dicho servicio, conocida como comisión;</w:t>
      </w:r>
    </w:p>
    <w:p w14:paraId="4915AD9E" w14:textId="77777777" w:rsidR="0098530D" w:rsidRPr="00AB7CA1" w:rsidRDefault="0098530D" w:rsidP="0098530D">
      <w:pPr>
        <w:pStyle w:val="Texto"/>
        <w:spacing w:line="238" w:lineRule="exact"/>
        <w:ind w:left="3312" w:hanging="576"/>
      </w:pPr>
      <w:r w:rsidRPr="00AB7CA1">
        <w:rPr>
          <w:b/>
        </w:rPr>
        <w:t>II.</w:t>
      </w:r>
      <w:r w:rsidRPr="00AB7CA1">
        <w:rPr>
          <w:b/>
        </w:rPr>
        <w:tab/>
      </w:r>
      <w:r w:rsidRPr="00AB7CA1">
        <w:t>El importe o valor nominal recibido de sus clientes, distinto de la comisión, que ampare la emisión de los vales o depósito en los monederos electrónicos, y que no sean reembolsados de forma definitiva a los establecimientos comerciales afiliados, a los clientes o a los usuarios.</w:t>
      </w:r>
    </w:p>
    <w:p w14:paraId="5FB25525" w14:textId="77777777" w:rsidR="0098530D" w:rsidRPr="00AB7CA1" w:rsidRDefault="0098530D" w:rsidP="0098530D">
      <w:pPr>
        <w:pStyle w:val="Texto"/>
        <w:spacing w:line="238" w:lineRule="exact"/>
        <w:ind w:left="3312" w:hanging="576"/>
      </w:pPr>
      <w:r w:rsidRPr="00AB7CA1">
        <w:rPr>
          <w:b/>
        </w:rPr>
        <w:t>III.</w:t>
      </w:r>
      <w:r w:rsidRPr="00AB7CA1">
        <w:rPr>
          <w:b/>
        </w:rPr>
        <w:tab/>
      </w:r>
      <w:r w:rsidRPr="00AB7CA1">
        <w:t>Los rendimientos que se generen a favor del emisor de vales o monederos electrónicos, respecto del importe o valor nominal de estos.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560166C8"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77968F9" w14:textId="77777777" w:rsidR="0098530D" w:rsidRPr="00AB7CA1" w:rsidRDefault="0098530D" w:rsidP="00552502">
            <w:pPr>
              <w:pStyle w:val="Texto"/>
              <w:spacing w:line="238"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7BCEDF3" w14:textId="77777777" w:rsidR="0098530D" w:rsidRPr="00AB7CA1" w:rsidRDefault="0098530D" w:rsidP="00552502">
            <w:pPr>
              <w:pStyle w:val="Texto"/>
              <w:spacing w:line="238" w:lineRule="exact"/>
              <w:ind w:firstLine="0"/>
              <w:jc w:val="center"/>
              <w:rPr>
                <w:b/>
              </w:rPr>
            </w:pPr>
            <w:r w:rsidRPr="00AB7CA1">
              <w:rPr>
                <w:b/>
              </w:rPr>
              <w:t>Primer antecedente</w:t>
            </w:r>
          </w:p>
        </w:tc>
      </w:tr>
      <w:tr w:rsidR="0098530D" w:rsidRPr="00AB7CA1" w14:paraId="6621E757"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ED0E8E4" w14:textId="77777777" w:rsidR="0098530D" w:rsidRPr="00AB7CA1" w:rsidRDefault="0098530D" w:rsidP="00552502">
            <w:pPr>
              <w:pStyle w:val="Texto"/>
              <w:spacing w:line="238" w:lineRule="exact"/>
              <w:ind w:firstLine="0"/>
            </w:pPr>
            <w:r w:rsidRPr="00AB7CA1">
              <w:t>2010</w:t>
            </w:r>
          </w:p>
        </w:tc>
        <w:tc>
          <w:tcPr>
            <w:tcW w:w="3237" w:type="pct"/>
            <w:tcBorders>
              <w:top w:val="single" w:sz="6" w:space="0" w:color="auto"/>
              <w:left w:val="single" w:sz="6" w:space="0" w:color="auto"/>
              <w:bottom w:val="single" w:sz="6" w:space="0" w:color="auto"/>
              <w:right w:val="single" w:sz="6" w:space="0" w:color="auto"/>
            </w:tcBorders>
          </w:tcPr>
          <w:p w14:paraId="7F832B52" w14:textId="77777777" w:rsidR="0098530D" w:rsidRPr="00AB7CA1" w:rsidRDefault="0098530D" w:rsidP="00552502">
            <w:pPr>
              <w:pStyle w:val="Texto"/>
              <w:spacing w:line="238" w:lineRule="exact"/>
              <w:ind w:firstLine="0"/>
            </w:pPr>
            <w:r w:rsidRPr="00AB7CA1">
              <w:t>Oficio 600-04-02-2010-68009 de 26 de julio de 2010, mediante el cual se dan a conocer los criterios normativos aprobados en el primer semestre 2010. Oficio 600-04-02-2010-69707 de 17 de diciembre de 2010, a través del cual se autoriza el Boletín 2010, con el número de criterio normativo 49/2010/ISR.</w:t>
            </w:r>
          </w:p>
        </w:tc>
      </w:tr>
    </w:tbl>
    <w:p w14:paraId="3DB4ECDE" w14:textId="77777777" w:rsidR="0098530D" w:rsidRPr="00AB7CA1" w:rsidRDefault="0098530D" w:rsidP="0098530D">
      <w:pPr>
        <w:pStyle w:val="Texto"/>
        <w:spacing w:line="238" w:lineRule="exact"/>
        <w:ind w:left="2736" w:hanging="1152"/>
        <w:rPr>
          <w:b/>
        </w:rPr>
      </w:pPr>
    </w:p>
    <w:p w14:paraId="60EFC894" w14:textId="77777777" w:rsidR="0098530D" w:rsidRPr="00AB7CA1" w:rsidRDefault="0098530D" w:rsidP="0098530D">
      <w:pPr>
        <w:pStyle w:val="Texto"/>
        <w:spacing w:line="237" w:lineRule="exact"/>
        <w:ind w:left="2736" w:hanging="1152"/>
        <w:rPr>
          <w:b/>
        </w:rPr>
      </w:pPr>
      <w:r w:rsidRPr="00AB7CA1">
        <w:rPr>
          <w:b/>
        </w:rPr>
        <w:t>13/ISR/N</w:t>
      </w:r>
      <w:r w:rsidRPr="00AB7CA1">
        <w:rPr>
          <w:b/>
        </w:rPr>
        <w:tab/>
        <w:t>Autorización para enajenar acciones a costo fiscal. No se actualiza el supuesto para otorgarla tratándose de aquéllas que no tengan costo promedio por acción.</w:t>
      </w:r>
    </w:p>
    <w:p w14:paraId="69EEBDFD" w14:textId="77777777" w:rsidR="0098530D" w:rsidRPr="00AB7CA1" w:rsidRDefault="0098530D" w:rsidP="0098530D">
      <w:pPr>
        <w:pStyle w:val="Texto"/>
        <w:spacing w:line="237" w:lineRule="exact"/>
        <w:ind w:left="2736" w:hanging="1152"/>
      </w:pPr>
      <w:r w:rsidRPr="00AB7CA1">
        <w:rPr>
          <w:b/>
        </w:rPr>
        <w:tab/>
      </w:r>
      <w:r w:rsidRPr="00AB7CA1">
        <w:t>El artículo 24, primer párrafo de la Ley del ISR establece que las autoridades fiscales autorizarán la enajenación de acciones a costo fiscal en los casos de reestructuración de sociedades residentes en México pertenecientes a un mismo grupo, siempre que se cumpla con los requisitos que dicho artículo indica.</w:t>
      </w:r>
    </w:p>
    <w:p w14:paraId="06FB8627" w14:textId="77777777" w:rsidR="0098530D" w:rsidRPr="00AB7CA1" w:rsidRDefault="0098530D" w:rsidP="0098530D">
      <w:pPr>
        <w:pStyle w:val="Texto"/>
        <w:spacing w:line="237" w:lineRule="exact"/>
        <w:ind w:left="2736" w:hanging="1152"/>
      </w:pPr>
      <w:r w:rsidRPr="00AB7CA1">
        <w:tab/>
        <w:t>La fracción I del artículo citado señala como requisito que el costo promedio de las acciones respecto de las cuales se formule la solicitud, se determine a la fecha de la enajenación, conforme a los artículos 22 y 23 de la Ley del ISR, distinguiéndolas por enajenante, emisora y adquirente, de las mismas.</w:t>
      </w:r>
    </w:p>
    <w:p w14:paraId="7A564794" w14:textId="77777777" w:rsidR="0098530D" w:rsidRPr="00AB7CA1" w:rsidRDefault="0098530D" w:rsidP="0098530D">
      <w:pPr>
        <w:pStyle w:val="Texto"/>
        <w:spacing w:line="237" w:lineRule="exact"/>
        <w:ind w:left="2736" w:hanging="1152"/>
      </w:pPr>
      <w:r w:rsidRPr="00AB7CA1">
        <w:lastRenderedPageBreak/>
        <w:tab/>
        <w:t>El artículo 22, fracción III, tercer párrafo, segunda oración de la Ley del ISR prevé la hipótesis en la cual las acciones no tendrán costo promedio por acción; es decir, el supuesto en que no tendrán costo fiscal.</w:t>
      </w:r>
    </w:p>
    <w:p w14:paraId="5B04E88F" w14:textId="77777777" w:rsidR="0098530D" w:rsidRPr="00AB7CA1" w:rsidRDefault="0098530D" w:rsidP="0098530D">
      <w:pPr>
        <w:pStyle w:val="Texto"/>
        <w:spacing w:line="237" w:lineRule="exact"/>
        <w:ind w:left="2736" w:hanging="1152"/>
      </w:pPr>
      <w:r w:rsidRPr="00AB7CA1">
        <w:tab/>
        <w:t>En consecuencia, no se actualiza el supuesto para otorgar la autorización prevista por el artículo 24 de la Ley del ISR, tratándose de acciones que no tengan costo promedio por acción de conformidad con el artículo 22, fracción III, tercer párrafo, segunda oración de dicha Ley.</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1E73C0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65A9016" w14:textId="77777777" w:rsidR="0098530D" w:rsidRPr="00AB7CA1" w:rsidRDefault="0098530D" w:rsidP="00552502">
            <w:pPr>
              <w:pStyle w:val="Texto"/>
              <w:spacing w:line="238"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B56898A" w14:textId="77777777" w:rsidR="0098530D" w:rsidRPr="00AB7CA1" w:rsidRDefault="0098530D" w:rsidP="00552502">
            <w:pPr>
              <w:pStyle w:val="Texto"/>
              <w:spacing w:line="238" w:lineRule="exact"/>
              <w:ind w:firstLine="0"/>
              <w:jc w:val="center"/>
              <w:rPr>
                <w:b/>
              </w:rPr>
            </w:pPr>
            <w:r w:rsidRPr="00AB7CA1">
              <w:rPr>
                <w:b/>
              </w:rPr>
              <w:t>Primer antecedente</w:t>
            </w:r>
          </w:p>
        </w:tc>
      </w:tr>
      <w:tr w:rsidR="0098530D" w:rsidRPr="00AB7CA1" w14:paraId="47B08DA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EF71B5C" w14:textId="77777777" w:rsidR="0098530D" w:rsidRPr="00AB7CA1" w:rsidRDefault="0098530D" w:rsidP="00552502">
            <w:pPr>
              <w:pStyle w:val="Texto"/>
              <w:spacing w:line="238" w:lineRule="exact"/>
              <w:ind w:firstLine="0"/>
            </w:pPr>
            <w:r w:rsidRPr="00AB7CA1">
              <w:t>2013</w:t>
            </w:r>
          </w:p>
        </w:tc>
        <w:tc>
          <w:tcPr>
            <w:tcW w:w="3237" w:type="pct"/>
            <w:tcBorders>
              <w:top w:val="single" w:sz="6" w:space="0" w:color="auto"/>
              <w:left w:val="single" w:sz="6" w:space="0" w:color="auto"/>
              <w:bottom w:val="single" w:sz="6" w:space="0" w:color="auto"/>
              <w:right w:val="single" w:sz="6" w:space="0" w:color="auto"/>
            </w:tcBorders>
          </w:tcPr>
          <w:p w14:paraId="08E15618" w14:textId="77777777" w:rsidR="0098530D" w:rsidRPr="00AB7CA1" w:rsidRDefault="0098530D" w:rsidP="00552502">
            <w:pPr>
              <w:pStyle w:val="Texto"/>
              <w:spacing w:line="238" w:lineRule="exact"/>
              <w:ind w:firstLine="0"/>
            </w:pPr>
            <w:r w:rsidRPr="00AB7CA1">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57/2013/ISR.</w:t>
            </w:r>
          </w:p>
        </w:tc>
      </w:tr>
    </w:tbl>
    <w:p w14:paraId="5B36ABE3" w14:textId="77777777" w:rsidR="0098530D" w:rsidRPr="00AB7CA1" w:rsidRDefault="0098530D" w:rsidP="0098530D">
      <w:pPr>
        <w:pStyle w:val="Texto"/>
        <w:spacing w:line="231" w:lineRule="exact"/>
        <w:ind w:left="2736" w:hanging="1152"/>
        <w:rPr>
          <w:b/>
        </w:rPr>
      </w:pPr>
      <w:r w:rsidRPr="00AB7CA1">
        <w:rPr>
          <w:b/>
        </w:rPr>
        <w:t>14/ISR/N</w:t>
      </w:r>
      <w:r w:rsidRPr="00AB7CA1">
        <w:rPr>
          <w:b/>
        </w:rPr>
        <w:tab/>
        <w:t>Envases de bebidas embotelladas. Supuestos en los que se deben considerar activo fijo o mercancía.</w:t>
      </w:r>
    </w:p>
    <w:p w14:paraId="5B6CFF1A" w14:textId="77777777" w:rsidR="0098530D" w:rsidRPr="00AB7CA1" w:rsidRDefault="0098530D" w:rsidP="0098530D">
      <w:pPr>
        <w:pStyle w:val="Texto"/>
        <w:spacing w:line="231" w:lineRule="exact"/>
        <w:ind w:left="2736" w:hanging="1152"/>
      </w:pPr>
      <w:r w:rsidRPr="00AB7CA1">
        <w:rPr>
          <w:b/>
        </w:rPr>
        <w:tab/>
      </w:r>
      <w:r w:rsidRPr="00AB7CA1">
        <w:t>De acuerdo con lo establecido por el artículo 25, fracción II de la Ley del ISR, los contribuyentes pueden deducir el costo de lo vendido, dentro del cual pueden considerar los productos terminados o semiterminados que formen parte de las mercancías, de conformidad con el artículo 39, tercer párrafo, inciso a) de la citada Ley.</w:t>
      </w:r>
    </w:p>
    <w:p w14:paraId="7F8367E7" w14:textId="77777777" w:rsidR="0098530D" w:rsidRPr="00AB7CA1" w:rsidRDefault="0098530D" w:rsidP="0098530D">
      <w:pPr>
        <w:pStyle w:val="Texto"/>
        <w:spacing w:line="231" w:lineRule="exact"/>
        <w:ind w:left="2736" w:hanging="1152"/>
      </w:pPr>
      <w:r w:rsidRPr="00AB7CA1">
        <w:tab/>
        <w:t>En ese contexto, los envases utilizados en la enajenación de bebidas embotelladas deben ser considerados como parte del costo de lo vendido, ya que dichos envases son parte del producto terminado que las embotelladoras utilizan para enajenar sus bebidas.</w:t>
      </w:r>
    </w:p>
    <w:p w14:paraId="6F35F27D" w14:textId="77777777" w:rsidR="0098530D" w:rsidRPr="00AB7CA1" w:rsidRDefault="0098530D" w:rsidP="0098530D">
      <w:pPr>
        <w:pStyle w:val="Texto"/>
        <w:spacing w:line="231" w:lineRule="exact"/>
        <w:ind w:left="2736" w:hanging="1152"/>
      </w:pPr>
      <w:r w:rsidRPr="00AB7CA1">
        <w:tab/>
        <w:t>Por otra parte, el artículo 32, segundo párrafo de la Ley del ISR, considera como activos fijos al conjunto de bienes tangibles que utilicen los contribuyentes para la realización de sus actividades y que se demeriten por el uso en el servicio del contribuyente y por el transcurso del tiempo, cuya finalidad es la utilización para el desarrollo de las actividades del contribuyente, y no la de ser enajenados dentro del curso normal de sus operaciones.</w:t>
      </w:r>
    </w:p>
    <w:p w14:paraId="03A4A312" w14:textId="77777777" w:rsidR="0098530D" w:rsidRPr="00AB7CA1" w:rsidRDefault="0098530D" w:rsidP="0098530D">
      <w:pPr>
        <w:pStyle w:val="Texto"/>
        <w:spacing w:line="231" w:lineRule="exact"/>
        <w:ind w:left="2736" w:hanging="1152"/>
      </w:pPr>
      <w:r w:rsidRPr="00AB7CA1">
        <w:tab/>
        <w:t>En consecuencia, tratándose de envases que no forman parte integrante del producto final que enajenan las empresas embotelladoras, ya que estos al momento de la enajenación son canjeados por otros de la misma especie y calidad, se debe considerar que forman parte del activo fijo de la empresa, puesto que son bienes tangibles que se utilizan varias veces, y en virtud de este uso se demeritan por el transcurso del tiempo. Asimismo, tienen como finalidad principal el desarrollo de las actividades del embotellador, toda vez que son un medio para comercializar sus bebidas y no tienen el propósito de ser enajenados dentro del curso normal de las operaciones.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6451E2A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E108E2D" w14:textId="77777777" w:rsidR="0098530D" w:rsidRPr="00AB7CA1" w:rsidRDefault="0098530D" w:rsidP="00552502">
            <w:pPr>
              <w:pStyle w:val="Texto"/>
              <w:spacing w:line="231"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C2B4DBB" w14:textId="77777777" w:rsidR="0098530D" w:rsidRPr="00AB7CA1" w:rsidRDefault="0098530D" w:rsidP="00552502">
            <w:pPr>
              <w:pStyle w:val="Texto"/>
              <w:spacing w:line="231" w:lineRule="exact"/>
              <w:ind w:firstLine="0"/>
              <w:jc w:val="center"/>
              <w:rPr>
                <w:b/>
              </w:rPr>
            </w:pPr>
            <w:r w:rsidRPr="00AB7CA1">
              <w:rPr>
                <w:b/>
              </w:rPr>
              <w:t>Primer antecedente</w:t>
            </w:r>
          </w:p>
        </w:tc>
      </w:tr>
      <w:tr w:rsidR="0098530D" w:rsidRPr="00AB7CA1" w14:paraId="63AC823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4716488" w14:textId="77777777" w:rsidR="0098530D" w:rsidRPr="00AB7CA1" w:rsidRDefault="0098530D" w:rsidP="00552502">
            <w:pPr>
              <w:pStyle w:val="Texto"/>
              <w:spacing w:line="231" w:lineRule="exact"/>
              <w:ind w:firstLine="0"/>
            </w:pPr>
            <w:r w:rsidRPr="00AB7CA1">
              <w:t>16/2002/ISR</w:t>
            </w:r>
          </w:p>
        </w:tc>
        <w:tc>
          <w:tcPr>
            <w:tcW w:w="3237" w:type="pct"/>
            <w:tcBorders>
              <w:top w:val="single" w:sz="6" w:space="0" w:color="auto"/>
              <w:left w:val="single" w:sz="6" w:space="0" w:color="auto"/>
              <w:bottom w:val="single" w:sz="6" w:space="0" w:color="auto"/>
              <w:right w:val="single" w:sz="6" w:space="0" w:color="auto"/>
            </w:tcBorders>
          </w:tcPr>
          <w:p w14:paraId="7D2A87E6" w14:textId="77777777" w:rsidR="0098530D" w:rsidRPr="00AB7CA1" w:rsidRDefault="0098530D" w:rsidP="00552502">
            <w:pPr>
              <w:pStyle w:val="Texto"/>
              <w:spacing w:line="231" w:lineRule="exact"/>
              <w:ind w:firstLine="0"/>
            </w:pPr>
            <w:r w:rsidRPr="00AB7CA1">
              <w:t>Oficio 325-SAT-A-31676 de 24 de mayo de 2002.</w:t>
            </w:r>
          </w:p>
        </w:tc>
      </w:tr>
    </w:tbl>
    <w:p w14:paraId="6C0CFF0D" w14:textId="77777777" w:rsidR="0098530D" w:rsidRPr="00AB7CA1" w:rsidRDefault="0098530D" w:rsidP="0098530D">
      <w:pPr>
        <w:pStyle w:val="Texto"/>
        <w:spacing w:line="231" w:lineRule="exact"/>
        <w:ind w:left="2736" w:hanging="1152"/>
        <w:rPr>
          <w:b/>
        </w:rPr>
      </w:pPr>
    </w:p>
    <w:p w14:paraId="49A18BF6" w14:textId="77777777" w:rsidR="0098530D" w:rsidRPr="00AB7CA1" w:rsidRDefault="0098530D" w:rsidP="0098530D">
      <w:pPr>
        <w:pStyle w:val="Texto"/>
        <w:spacing w:line="231" w:lineRule="exact"/>
        <w:ind w:left="2736" w:hanging="1152"/>
        <w:rPr>
          <w:b/>
        </w:rPr>
      </w:pPr>
      <w:r w:rsidRPr="00AB7CA1">
        <w:rPr>
          <w:b/>
        </w:rPr>
        <w:t>15/ISR/N</w:t>
      </w:r>
      <w:r w:rsidRPr="00AB7CA1">
        <w:rPr>
          <w:b/>
        </w:rPr>
        <w:tab/>
        <w:t>Deducción de pérdidas por caso fortuito o fuerza mayor.</w:t>
      </w:r>
    </w:p>
    <w:p w14:paraId="5583281E" w14:textId="77777777" w:rsidR="0098530D" w:rsidRPr="00AB7CA1" w:rsidRDefault="0098530D" w:rsidP="0098530D">
      <w:pPr>
        <w:pStyle w:val="Texto"/>
        <w:spacing w:line="231" w:lineRule="exact"/>
        <w:ind w:left="3312" w:hanging="576"/>
      </w:pPr>
      <w:r w:rsidRPr="00AB7CA1">
        <w:rPr>
          <w:b/>
        </w:rPr>
        <w:t>A.</w:t>
      </w:r>
      <w:r w:rsidRPr="00AB7CA1">
        <w:rPr>
          <w:b/>
        </w:rPr>
        <w:tab/>
      </w:r>
      <w:r w:rsidRPr="00AB7CA1">
        <w:t xml:space="preserve">Una pérdida de dinero en efectivo derivada de un robo o fraude podrá ser deducida en los términos del artículo 25, fracción V de la Ley del </w:t>
      </w:r>
      <w:r w:rsidRPr="00AB7CA1">
        <w:lastRenderedPageBreak/>
        <w:t>ISR, como caso de fuerza mayor siempre que se reúnan los siguientes requisitos:</w:t>
      </w:r>
    </w:p>
    <w:p w14:paraId="23A6F93E" w14:textId="77777777" w:rsidR="0098530D" w:rsidRPr="00AB7CA1" w:rsidRDefault="0098530D" w:rsidP="0098530D">
      <w:pPr>
        <w:pStyle w:val="Texto"/>
        <w:spacing w:line="231" w:lineRule="exact"/>
        <w:ind w:left="3888" w:hanging="576"/>
      </w:pPr>
      <w:r w:rsidRPr="00AB7CA1">
        <w:rPr>
          <w:b/>
          <w:lang w:val="es-ES_tradnl"/>
        </w:rPr>
        <w:t>I.</w:t>
      </w:r>
      <w:r w:rsidRPr="00AB7CA1">
        <w:rPr>
          <w:lang w:val="es-ES_tradnl"/>
        </w:rPr>
        <w:tab/>
      </w:r>
      <w:r w:rsidRPr="00AB7CA1">
        <w:t>Que las cantidades perdidas, cuya deducción se pretenda, se hubieren acumulado para los efectos del ISR, y</w:t>
      </w:r>
    </w:p>
    <w:p w14:paraId="57B47A0B" w14:textId="77777777" w:rsidR="0098530D" w:rsidRPr="00AB7CA1" w:rsidRDefault="0098530D" w:rsidP="0098530D">
      <w:pPr>
        <w:pStyle w:val="Texto"/>
        <w:spacing w:line="231" w:lineRule="exact"/>
        <w:ind w:left="3888" w:hanging="576"/>
        <w:rPr>
          <w:lang w:val="es-ES_tradnl"/>
        </w:rPr>
      </w:pPr>
      <w:r w:rsidRPr="00AB7CA1">
        <w:rPr>
          <w:b/>
        </w:rPr>
        <w:t>II.</w:t>
      </w:r>
      <w:r w:rsidRPr="00AB7CA1">
        <w:rPr>
          <w:b/>
        </w:rPr>
        <w:tab/>
      </w:r>
      <w:r w:rsidRPr="00AB7CA1">
        <w:t>Que se acredite la existencia del hecho que la ley señala como delito. Para ello, el contribuyente deberá formular la denuncia o querella según se trate y contar con copia auténtica del auto de vinculación a proceso, emitido por el Juez de Control competente. Dicha copia auténtica deberá exhibirse a requerimiento de la autoridad fiscal.</w:t>
      </w:r>
    </w:p>
    <w:p w14:paraId="41BACC84" w14:textId="77777777" w:rsidR="0098530D" w:rsidRPr="00AB7CA1" w:rsidRDefault="0098530D" w:rsidP="0098530D">
      <w:pPr>
        <w:pStyle w:val="Texto"/>
        <w:spacing w:line="231" w:lineRule="exact"/>
        <w:ind w:left="3312" w:hanging="576"/>
      </w:pPr>
      <w:r w:rsidRPr="00AB7CA1">
        <w:tab/>
        <w:t>Las cantidades que se recuperen por seguros, fianzas o responsabilidades a cargo de terceros se acumularán de conformidad con el artículo 18, fracción VI de la Ley del ISR.</w:t>
      </w:r>
    </w:p>
    <w:p w14:paraId="3644B999" w14:textId="77777777" w:rsidR="0098530D" w:rsidRPr="00AB7CA1" w:rsidRDefault="0098530D" w:rsidP="0098530D">
      <w:pPr>
        <w:pStyle w:val="Texto"/>
        <w:spacing w:line="231" w:lineRule="exact"/>
        <w:ind w:left="3312" w:hanging="576"/>
      </w:pPr>
      <w:r w:rsidRPr="00AB7CA1">
        <w:tab/>
        <w:t>El contribuyente volverá a acumular las cantidades deducidas conforme al presente criterio, en el caso de que la autoridad Judicial decrete el sobreseimiento del proceso penal, de conformidad con lo previsto en el Código Nacional de Procedimientos Penales y la resolución correspondiente se encuentre firme.</w:t>
      </w:r>
    </w:p>
    <w:p w14:paraId="0590EDAA" w14:textId="77777777" w:rsidR="0098530D" w:rsidRPr="00AB7CA1" w:rsidRDefault="0098530D" w:rsidP="0098530D">
      <w:pPr>
        <w:pStyle w:val="Texto"/>
        <w:spacing w:line="242" w:lineRule="exact"/>
        <w:ind w:left="3312" w:hanging="576"/>
      </w:pPr>
      <w:r w:rsidRPr="00AB7CA1">
        <w:tab/>
        <w:t>En los casos en los que no se acredite la pérdida de dinero en efectivo, robo o fraude, la cantidad manifestada por el contribuyente como pérdida deberá acumularse, previa actualización de conformidad con el artículo 17-A del CFF, desde el día en que se efectuó la deducción hasta la fecha en que se acumule.</w:t>
      </w:r>
    </w:p>
    <w:p w14:paraId="23FA4663" w14:textId="77777777" w:rsidR="0098530D" w:rsidRPr="00AB7CA1" w:rsidRDefault="0098530D" w:rsidP="0098530D">
      <w:pPr>
        <w:pStyle w:val="Texto"/>
        <w:spacing w:line="242" w:lineRule="exact"/>
        <w:ind w:left="3312" w:hanging="576"/>
      </w:pPr>
      <w:r w:rsidRPr="00AB7CA1">
        <w:rPr>
          <w:b/>
        </w:rPr>
        <w:t>B.</w:t>
      </w:r>
      <w:r w:rsidRPr="00AB7CA1">
        <w:t xml:space="preserve"> </w:t>
      </w:r>
      <w:r w:rsidRPr="00AB7CA1">
        <w:tab/>
        <w:t>En caso de que la pérdida de bienes a que se refiere el artículo 37 de la Ley del ISR derive de la comisión de un delito, el contribuyente para realizar la deducción correspondiente deberá cumplir con el requisito a que se refiere la fracción II del apartado A anterior.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4AFC1B2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36AFD36" w14:textId="77777777" w:rsidR="0098530D" w:rsidRPr="00AB7CA1" w:rsidRDefault="0098530D" w:rsidP="00552502">
            <w:pPr>
              <w:pStyle w:val="Texto"/>
              <w:spacing w:line="242"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4A80D1C4" w14:textId="77777777" w:rsidR="0098530D" w:rsidRPr="00AB7CA1" w:rsidRDefault="0098530D" w:rsidP="00552502">
            <w:pPr>
              <w:pStyle w:val="Texto"/>
              <w:spacing w:line="242" w:lineRule="exact"/>
              <w:ind w:firstLine="0"/>
              <w:jc w:val="center"/>
              <w:rPr>
                <w:b/>
              </w:rPr>
            </w:pPr>
            <w:r w:rsidRPr="00AB7CA1">
              <w:rPr>
                <w:b/>
              </w:rPr>
              <w:t>Primer antecedente</w:t>
            </w:r>
          </w:p>
        </w:tc>
      </w:tr>
      <w:tr w:rsidR="0098530D" w:rsidRPr="00AB7CA1" w14:paraId="4BAA246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4AB786C" w14:textId="77777777" w:rsidR="0098530D" w:rsidRPr="00AB7CA1" w:rsidRDefault="0098530D" w:rsidP="00552502">
            <w:pPr>
              <w:pStyle w:val="Texto"/>
              <w:spacing w:line="242" w:lineRule="exact"/>
              <w:ind w:firstLine="0"/>
            </w:pPr>
            <w:r w:rsidRPr="00AB7CA1">
              <w:t>3.2.5.</w:t>
            </w:r>
          </w:p>
        </w:tc>
        <w:tc>
          <w:tcPr>
            <w:tcW w:w="3237" w:type="pct"/>
            <w:tcBorders>
              <w:top w:val="single" w:sz="6" w:space="0" w:color="auto"/>
              <w:left w:val="single" w:sz="6" w:space="0" w:color="auto"/>
              <w:bottom w:val="single" w:sz="6" w:space="0" w:color="auto"/>
              <w:right w:val="single" w:sz="6" w:space="0" w:color="auto"/>
            </w:tcBorders>
          </w:tcPr>
          <w:p w14:paraId="0137905E" w14:textId="77777777" w:rsidR="0098530D" w:rsidRPr="00AB7CA1" w:rsidRDefault="0098530D" w:rsidP="00552502">
            <w:pPr>
              <w:pStyle w:val="Texto"/>
              <w:spacing w:line="242" w:lineRule="exact"/>
              <w:ind w:firstLine="0"/>
            </w:pPr>
            <w:r w:rsidRPr="00AB7CA1">
              <w:t>Oficio 325-A-VII-B-23300 de 20 de diciembre de 1995.</w:t>
            </w:r>
          </w:p>
        </w:tc>
      </w:tr>
    </w:tbl>
    <w:p w14:paraId="5943CE2D" w14:textId="77777777" w:rsidR="0098530D" w:rsidRPr="00AB7CA1" w:rsidRDefault="0098530D" w:rsidP="0098530D">
      <w:pPr>
        <w:pStyle w:val="Texto"/>
        <w:spacing w:line="242" w:lineRule="exact"/>
        <w:ind w:left="2736" w:hanging="1152"/>
        <w:rPr>
          <w:b/>
        </w:rPr>
      </w:pPr>
    </w:p>
    <w:p w14:paraId="19496739" w14:textId="77777777" w:rsidR="0098530D" w:rsidRPr="00AB7CA1" w:rsidRDefault="0098530D" w:rsidP="0098530D">
      <w:pPr>
        <w:pStyle w:val="Texto"/>
        <w:spacing w:line="242" w:lineRule="exact"/>
        <w:ind w:left="2736" w:hanging="1152"/>
        <w:rPr>
          <w:b/>
        </w:rPr>
      </w:pPr>
      <w:r w:rsidRPr="00AB7CA1">
        <w:rPr>
          <w:b/>
        </w:rPr>
        <w:t>16/ISR/N</w:t>
      </w:r>
      <w:r w:rsidRPr="00AB7CA1">
        <w:rPr>
          <w:b/>
        </w:rPr>
        <w:tab/>
        <w:t>Intereses devengados. Supuesto en el que se acredita el requisito de la deducibilidad.</w:t>
      </w:r>
    </w:p>
    <w:p w14:paraId="3009A523" w14:textId="77777777" w:rsidR="0098530D" w:rsidRPr="00AB7CA1" w:rsidRDefault="0098530D" w:rsidP="0098530D">
      <w:pPr>
        <w:pStyle w:val="Texto"/>
        <w:spacing w:line="242" w:lineRule="exact"/>
        <w:ind w:left="2736" w:hanging="1152"/>
      </w:pPr>
      <w:r w:rsidRPr="00AB7CA1">
        <w:rPr>
          <w:b/>
        </w:rPr>
        <w:tab/>
      </w:r>
      <w:r w:rsidRPr="00AB7CA1">
        <w:t>El artículo 25, fracción VII de la Ley del ISR establece que son deducibles los intereses devengados a cargo en el ejercicio, sin ajuste alguno, salvo en el caso de los intereses moratorios.</w:t>
      </w:r>
    </w:p>
    <w:p w14:paraId="7D1108BA" w14:textId="77777777" w:rsidR="0098530D" w:rsidRPr="00AB7CA1" w:rsidRDefault="0098530D" w:rsidP="0098530D">
      <w:pPr>
        <w:pStyle w:val="Texto"/>
        <w:spacing w:line="242" w:lineRule="exact"/>
        <w:ind w:left="2736" w:hanging="1152"/>
      </w:pPr>
      <w:r w:rsidRPr="00AB7CA1">
        <w:tab/>
        <w:t>El artículo 27, fracción III, primer párrafo de la Ley del ISR dispone que las deducciones autorizadas deberán estar amparadas con un comprobante fiscal; sin embargo, dicha disposición no limita la deducción autorizada en el diverso 25, fracción VII del ordenamiento legal invocado, a que los intereses devengados hayan sido pagados, salvo tratándose de aquéllos a que se refiere el artículo 27, fracción VIII de la Ley citada.</w:t>
      </w:r>
    </w:p>
    <w:p w14:paraId="1188BFAF" w14:textId="77777777" w:rsidR="0098530D" w:rsidRPr="00AB7CA1" w:rsidRDefault="0098530D" w:rsidP="0098530D">
      <w:pPr>
        <w:pStyle w:val="Texto"/>
        <w:spacing w:line="242" w:lineRule="exact"/>
        <w:ind w:left="2736" w:hanging="1152"/>
      </w:pPr>
      <w:r w:rsidRPr="00AB7CA1">
        <w:tab/>
        <w:t>Ahora bien, entre otros requisitos de las deducciones autorizadas, el artículo 27, fracciones I, IV y VII de la Ley del ISR requieren que estas sean estrictamente indispensables para los fines de la actividad del contribuyente; que estén debidamente registradas en contabilidad y, en el caso de intereses por capitales tomados en préstamo, que estos se hayan invertido en los fines de negocio.</w:t>
      </w:r>
    </w:p>
    <w:p w14:paraId="462E56A5" w14:textId="77777777" w:rsidR="0098530D" w:rsidRPr="00AB7CA1" w:rsidRDefault="0098530D" w:rsidP="0098530D">
      <w:pPr>
        <w:pStyle w:val="Texto"/>
        <w:spacing w:line="242" w:lineRule="exact"/>
        <w:ind w:left="2736" w:hanging="1152"/>
      </w:pPr>
      <w:r w:rsidRPr="00AB7CA1">
        <w:lastRenderedPageBreak/>
        <w:tab/>
        <w:t>En virtud de lo anterior, los contribuyentes que pretendan deducir intereses devengados, salvo en el caso de los intereses moratorios y de aquéllos a que se refiere el artículo 27, fracción VIII de la Ley del ISR; deberán cumplir con los requisitos de deducibilidad previstos en la Ley citada, tales como acreditar que el gasto es estrictamente indispensable para los fines de la actividad del contribuyente, que está debidamente registrado en contabilidad, que cuentan con los instrumentos que contengan el sustento del adeudo en los que conste la tasa del interés pactada entre las partes, además de constar en documentos que generen certeza jurídica de que la operación fue real, las operaciones consten en papeles de trabajo; y, en el caso de intereses por capitales tomados en préstamo, acreditar que estos se hayan invertido en los fines del negocio.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C9185C6"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7ABEC903" w14:textId="77777777" w:rsidR="0098530D" w:rsidRPr="00AB7CA1" w:rsidRDefault="0098530D" w:rsidP="00552502">
            <w:pPr>
              <w:pStyle w:val="Texto"/>
              <w:spacing w:line="240"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04326677" w14:textId="77777777" w:rsidR="0098530D" w:rsidRPr="00AB7CA1" w:rsidRDefault="0098530D" w:rsidP="00552502">
            <w:pPr>
              <w:pStyle w:val="Texto"/>
              <w:spacing w:line="240" w:lineRule="exact"/>
              <w:ind w:firstLine="0"/>
              <w:jc w:val="center"/>
              <w:rPr>
                <w:b/>
              </w:rPr>
            </w:pPr>
            <w:r w:rsidRPr="00AB7CA1">
              <w:rPr>
                <w:b/>
              </w:rPr>
              <w:t>Primer antecedente</w:t>
            </w:r>
          </w:p>
        </w:tc>
      </w:tr>
      <w:tr w:rsidR="0098530D" w:rsidRPr="00AB7CA1" w14:paraId="6C92C74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5C5CCA8" w14:textId="77777777" w:rsidR="0098530D" w:rsidRPr="00AB7CA1" w:rsidRDefault="0098530D" w:rsidP="00552502">
            <w:pPr>
              <w:pStyle w:val="Texto"/>
              <w:spacing w:line="240" w:lineRule="exact"/>
              <w:ind w:firstLine="0"/>
            </w:pPr>
            <w:r w:rsidRPr="00AB7CA1">
              <w:t>2012</w:t>
            </w:r>
          </w:p>
        </w:tc>
        <w:tc>
          <w:tcPr>
            <w:tcW w:w="3237" w:type="pct"/>
            <w:tcBorders>
              <w:top w:val="single" w:sz="6" w:space="0" w:color="auto"/>
              <w:left w:val="single" w:sz="6" w:space="0" w:color="auto"/>
              <w:bottom w:val="single" w:sz="6" w:space="0" w:color="auto"/>
              <w:right w:val="single" w:sz="6" w:space="0" w:color="auto"/>
            </w:tcBorders>
          </w:tcPr>
          <w:p w14:paraId="604906B2" w14:textId="77777777" w:rsidR="0098530D" w:rsidRPr="00AB7CA1" w:rsidRDefault="0098530D" w:rsidP="00552502">
            <w:pPr>
              <w:pStyle w:val="Texto"/>
              <w:spacing w:line="240" w:lineRule="exact"/>
              <w:ind w:firstLine="0"/>
            </w:pPr>
            <w:r w:rsidRPr="00AB7CA1">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57/2012/ISR.</w:t>
            </w:r>
          </w:p>
        </w:tc>
      </w:tr>
    </w:tbl>
    <w:p w14:paraId="55F50A13" w14:textId="77777777" w:rsidR="0098530D" w:rsidRPr="00AB7CA1" w:rsidRDefault="0098530D" w:rsidP="0098530D">
      <w:pPr>
        <w:pStyle w:val="Texto"/>
        <w:spacing w:after="80"/>
        <w:ind w:left="2736" w:hanging="1152"/>
        <w:rPr>
          <w:b/>
        </w:rPr>
      </w:pPr>
      <w:r w:rsidRPr="00AB7CA1">
        <w:rPr>
          <w:b/>
        </w:rPr>
        <w:t>17/ISR/N</w:t>
      </w:r>
      <w:r w:rsidRPr="00AB7CA1">
        <w:rPr>
          <w:b/>
        </w:rPr>
        <w:tab/>
        <w:t>Actos u operaciones prohibidos por la Ley Federal para la Prevención e Identificación de Operaciones con Recursos de Procedencia Ilícita. La realización de dichos actos u operaciones implica la no deducción de las erogaciones relacionadas con aquéllos.</w:t>
      </w:r>
    </w:p>
    <w:p w14:paraId="349055CB" w14:textId="77777777" w:rsidR="0098530D" w:rsidRPr="00AB7CA1" w:rsidRDefault="0098530D" w:rsidP="0098530D">
      <w:pPr>
        <w:pStyle w:val="Texto"/>
        <w:spacing w:after="80"/>
        <w:ind w:left="2736" w:hanging="1152"/>
      </w:pPr>
      <w:r w:rsidRPr="00AB7CA1">
        <w:rPr>
          <w:b/>
        </w:rPr>
        <w:tab/>
      </w:r>
      <w:r w:rsidRPr="00AB7CA1">
        <w:t>Los artículos 27, fracción I y 105, fracción II de la Ley del ISR establecen que las deducciones autorizadas previstas en los artículos 25 y 103 de la citada Ley, deberán cumplir, entre otros requisitos, ser estrictamente indispensables para los fines de la actividad del contribuyente o para la obtención de los ingresos por los que se está obligado al pago del ISR, respectivamente.</w:t>
      </w:r>
    </w:p>
    <w:p w14:paraId="20380CE3" w14:textId="77777777" w:rsidR="0098530D" w:rsidRPr="00AB7CA1" w:rsidRDefault="0098530D" w:rsidP="0098530D">
      <w:pPr>
        <w:pStyle w:val="Texto"/>
        <w:spacing w:after="80"/>
        <w:ind w:left="2736" w:hanging="1152"/>
      </w:pPr>
      <w:r w:rsidRPr="00AB7CA1">
        <w:tab/>
        <w:t>El artículo 32 de la Ley Federal para la Prevención e Identificación de Operaciones con Recursos de Procedencia Ilícita, prohíbe dar cumplimiento a obligaciones y, en general, liquidar o pagar, así como aceptar la liquidación o el pago, de actos u operaciones mediante el uso de monedas y billetes, en moneda nacional o divisas y metales preciosos, en los supuestos a que se refiere dicho artículo.</w:t>
      </w:r>
    </w:p>
    <w:p w14:paraId="21532686" w14:textId="77777777" w:rsidR="0098530D" w:rsidRPr="00AB7CA1" w:rsidRDefault="0098530D" w:rsidP="0098530D">
      <w:pPr>
        <w:pStyle w:val="Texto"/>
        <w:spacing w:after="80"/>
        <w:ind w:left="2736" w:hanging="1152"/>
      </w:pPr>
      <w:r w:rsidRPr="00AB7CA1">
        <w:tab/>
        <w:t>En ese sentido, el realizar cualquiera de los actos u operaciones a que se refiere el mencionado artículo 32 de la Ley Federal para la Prevención e Identificación de Operaciones con Recursos de Procedencia Ilícita, implica que las erogaciones efectuadas por el contribuyente relacionadas con dichos actos y operaciones, habrán sido efectuadas en contravención a una Ley de orden público.</w:t>
      </w:r>
    </w:p>
    <w:p w14:paraId="0DF9B627" w14:textId="77777777" w:rsidR="0098530D" w:rsidRPr="00AB7CA1" w:rsidRDefault="0098530D" w:rsidP="0098530D">
      <w:pPr>
        <w:pStyle w:val="Texto"/>
        <w:spacing w:after="80"/>
        <w:ind w:left="2736" w:hanging="1152"/>
      </w:pPr>
      <w:r w:rsidRPr="00AB7CA1">
        <w:tab/>
        <w:t>Lo anterior, conforme a los artículos 1830 y 1831 del Código Civil Federal, en relación con el 8o. de dicho Código, que establecen que es ilícito el hecho que es contrario a las leyes de orden público y que el fin o motivo determinante de la voluntad tampoco debe ser contrario a dichas leyes, resultando como sanción su nulidad; por lo que las erogaciones, para ser consideradas deducciones autorizadas, no deben ser contrarias a las leyes de orden público.</w:t>
      </w:r>
    </w:p>
    <w:p w14:paraId="3FCDB6FB" w14:textId="77777777" w:rsidR="0098530D" w:rsidRPr="00AB7CA1" w:rsidRDefault="0098530D" w:rsidP="0098530D">
      <w:pPr>
        <w:pStyle w:val="Texto"/>
        <w:spacing w:after="80"/>
        <w:ind w:left="2736" w:hanging="1152"/>
      </w:pPr>
      <w:r w:rsidRPr="00AB7CA1">
        <w:tab/>
        <w:t xml:space="preserve">Por lo tanto, las erogaciones relacionadas con actos u operaciones prohibidos por el artículo 32 de la Ley Federal para la Prevención e Identificación de Operaciones con Recursos de Procedencia Ilícita, no serán estrictamente indispensables para los fines de la actividad del contribuyente ni para la obtención de los ingresos por los que se esté obligado al pago del </w:t>
      </w:r>
      <w:r w:rsidRPr="00AB7CA1">
        <w:lastRenderedPageBreak/>
        <w:t>ISR y, por ende, tampoco serán deducibles en los términos de los artículos 27, fracción I y 105, fracción II de la Ley del ISR, respectivamente.</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BC937E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1F19998" w14:textId="77777777" w:rsidR="0098530D" w:rsidRPr="00AB7CA1" w:rsidRDefault="0098530D" w:rsidP="00552502">
            <w:pPr>
              <w:pStyle w:val="Texto"/>
              <w:spacing w:after="80"/>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C9E30F7" w14:textId="77777777" w:rsidR="0098530D" w:rsidRPr="00AB7CA1" w:rsidRDefault="0098530D" w:rsidP="00552502">
            <w:pPr>
              <w:pStyle w:val="Texto"/>
              <w:spacing w:after="80"/>
              <w:ind w:firstLine="0"/>
              <w:jc w:val="center"/>
              <w:rPr>
                <w:b/>
              </w:rPr>
            </w:pPr>
            <w:r w:rsidRPr="00AB7CA1">
              <w:rPr>
                <w:b/>
              </w:rPr>
              <w:t>Primer antecedente</w:t>
            </w:r>
          </w:p>
        </w:tc>
      </w:tr>
      <w:tr w:rsidR="0098530D" w:rsidRPr="00AB7CA1" w14:paraId="33E544D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172F117" w14:textId="77777777" w:rsidR="0098530D" w:rsidRPr="00AB7CA1" w:rsidRDefault="0098530D" w:rsidP="00552502">
            <w:pPr>
              <w:pStyle w:val="Texto"/>
              <w:spacing w:after="80"/>
              <w:ind w:firstLine="0"/>
            </w:pPr>
            <w:r w:rsidRPr="00AB7CA1">
              <w:t>2013</w:t>
            </w:r>
          </w:p>
        </w:tc>
        <w:tc>
          <w:tcPr>
            <w:tcW w:w="3237" w:type="pct"/>
            <w:tcBorders>
              <w:top w:val="single" w:sz="6" w:space="0" w:color="auto"/>
              <w:left w:val="single" w:sz="6" w:space="0" w:color="auto"/>
              <w:bottom w:val="single" w:sz="6" w:space="0" w:color="auto"/>
              <w:right w:val="single" w:sz="6" w:space="0" w:color="auto"/>
            </w:tcBorders>
          </w:tcPr>
          <w:p w14:paraId="0197B41C" w14:textId="77777777" w:rsidR="0098530D" w:rsidRPr="00AB7CA1" w:rsidRDefault="0098530D" w:rsidP="00552502">
            <w:pPr>
              <w:pStyle w:val="Texto"/>
              <w:spacing w:after="80"/>
              <w:ind w:firstLine="0"/>
            </w:pPr>
            <w:r w:rsidRPr="00AB7CA1">
              <w:t>Oficio 600-04-07-2013-16027 de 19 de noviembre de 2013 mediante el cual se dan a conocer los criterios normativos aprobados en el cuarto trimestre 2013. Oficio 600-04-07-2013-16549 de 10 de diciembre de 2013 a través del cual se da a conocer el Boletín 2013, con el número de criterio normativo 61/2013/ISR.</w:t>
            </w:r>
          </w:p>
        </w:tc>
      </w:tr>
    </w:tbl>
    <w:p w14:paraId="7D8F3F40" w14:textId="77777777" w:rsidR="0098530D" w:rsidRPr="00AB7CA1" w:rsidRDefault="0098530D" w:rsidP="0098530D">
      <w:pPr>
        <w:pStyle w:val="Texto"/>
        <w:spacing w:after="80"/>
        <w:ind w:left="2736" w:hanging="1152"/>
        <w:rPr>
          <w:b/>
        </w:rPr>
      </w:pPr>
    </w:p>
    <w:p w14:paraId="7B7A80B5" w14:textId="77777777" w:rsidR="0098530D" w:rsidRPr="00AB7CA1" w:rsidRDefault="0098530D" w:rsidP="0098530D">
      <w:pPr>
        <w:pStyle w:val="Texto"/>
        <w:spacing w:after="80"/>
        <w:ind w:left="2736" w:hanging="1152"/>
        <w:rPr>
          <w:b/>
        </w:rPr>
      </w:pPr>
      <w:r w:rsidRPr="00AB7CA1">
        <w:rPr>
          <w:b/>
        </w:rPr>
        <w:t>18/ISR/N</w:t>
      </w:r>
      <w:r w:rsidRPr="00AB7CA1">
        <w:rPr>
          <w:b/>
        </w:rPr>
        <w:tab/>
        <w:t>Personas morales que concentren sus transacciones de tesorería. Excepción al requisito de deducibilidad previsto para la procedencia del acreditamiento del IVA.</w:t>
      </w:r>
    </w:p>
    <w:p w14:paraId="25A88B21" w14:textId="77777777" w:rsidR="0098530D" w:rsidRPr="00AB7CA1" w:rsidRDefault="0098530D" w:rsidP="0098530D">
      <w:pPr>
        <w:pStyle w:val="Texto"/>
        <w:spacing w:after="80"/>
        <w:ind w:left="2736" w:hanging="1152"/>
      </w:pPr>
      <w:r w:rsidRPr="00AB7CA1">
        <w:rPr>
          <w:b/>
        </w:rPr>
        <w:tab/>
      </w:r>
      <w:r w:rsidRPr="00AB7CA1">
        <w:t>De conformidad con lo establecido por el artículo 27, fracción III de la Ley del ISR, las deducciones autorizadas deben estar amparadas con un comprobante fiscal y que los pagos cuyo monto exceda de $2,000.00 se efectúen mediante transferencia electrónica de fondos desde cuentas abiertas a nombre del contribuyente en instituciones que componen el sistema financiero y las entidades que para tal efecto autorice el Banco de México; cheque nominativo de la cuenta del contribuyente, tarjeta de crédito, de débito o de servicios, o los denominados monederos electrónicos autorizados por el SAT.</w:t>
      </w:r>
    </w:p>
    <w:p w14:paraId="4DEE2FB4" w14:textId="77777777" w:rsidR="0098530D" w:rsidRPr="00AB7CA1" w:rsidRDefault="0098530D" w:rsidP="0098530D">
      <w:pPr>
        <w:pStyle w:val="Texto"/>
        <w:spacing w:line="226" w:lineRule="exact"/>
        <w:ind w:left="2736" w:hanging="1152"/>
      </w:pPr>
      <w:r w:rsidRPr="00AB7CA1">
        <w:tab/>
        <w:t>Del mismo modo, el artículo 5o., fracción I de la Ley del IVA señala que para considerar como acreditable el IVA, debe corresponder a bienes, servicios o al uso o goce temporal de bienes estrictamente indispensables, considerando como tales las erogaciones efectuadas por el contribuyente que sean deducibles para los fines del ISR.</w:t>
      </w:r>
    </w:p>
    <w:p w14:paraId="45A8E781" w14:textId="77777777" w:rsidR="0098530D" w:rsidRPr="00AB7CA1" w:rsidRDefault="0098530D" w:rsidP="0098530D">
      <w:pPr>
        <w:pStyle w:val="Texto"/>
        <w:spacing w:line="226" w:lineRule="exact"/>
        <w:ind w:left="2736" w:hanging="1152"/>
      </w:pPr>
      <w:r w:rsidRPr="00AB7CA1">
        <w:tab/>
        <w:t>Asimismo, la regla 3.3.1.3., señala que lo previsto en el artículo 27, fracción III de la Ley del ISR solo es aplicable a las obligaciones que se cumplan o se extingan con la entrega de una cantidad en dinero.</w:t>
      </w:r>
    </w:p>
    <w:p w14:paraId="7BC614E7" w14:textId="77777777" w:rsidR="0098530D" w:rsidRPr="00AB7CA1" w:rsidRDefault="0098530D" w:rsidP="0098530D">
      <w:pPr>
        <w:pStyle w:val="Texto"/>
        <w:spacing w:line="226" w:lineRule="exact"/>
        <w:ind w:left="2736" w:hanging="1152"/>
      </w:pPr>
      <w:r w:rsidRPr="00AB7CA1">
        <w:tab/>
        <w:t>En algunos casos, personas morales que pertenecen a un grupo de empresas que realizan operaciones recíprocas, han firmado convenios para concentrar sus transacciones de tesorería a través de una empresa del mismo grupo que actúa como centralizadora, la cual opera los procesos de pago mediante la cancelación de cuentas por cobrar contra cuentas por pagar entre empresas del grupo, y en consecuencia no se llevan a cabo flujos de efectivo para liquidar este tipo de operaciones.</w:t>
      </w:r>
    </w:p>
    <w:p w14:paraId="791CE856" w14:textId="77777777" w:rsidR="0098530D" w:rsidRPr="00AB7CA1" w:rsidRDefault="0098530D" w:rsidP="0098530D">
      <w:pPr>
        <w:pStyle w:val="Texto"/>
        <w:spacing w:line="226" w:lineRule="exact"/>
        <w:ind w:left="2736" w:hanging="1152"/>
      </w:pPr>
      <w:r w:rsidRPr="00AB7CA1">
        <w:tab/>
        <w:t>En ese sentido, cuando se dé el supuesto señalado en el párrafo anterior, se tendrá por cumplido el requisito de deducibilidad previsto en el artículo 27, fracción III de la Ley del ISR y, por ende, se tendrá por cumplido el relativo al acreditamiento señalado en el diverso 5o., fracción I de la Ley</w:t>
      </w:r>
      <w:r>
        <w:t xml:space="preserve"> </w:t>
      </w:r>
      <w:r w:rsidRPr="00AB7CA1">
        <w:t>del IVA.</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64092B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50A2659" w14:textId="77777777" w:rsidR="0098530D" w:rsidRPr="00AB7CA1" w:rsidRDefault="0098530D" w:rsidP="00552502">
            <w:pPr>
              <w:pStyle w:val="Texto"/>
              <w:spacing w:line="226"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16E0EF4" w14:textId="77777777" w:rsidR="0098530D" w:rsidRPr="00AB7CA1" w:rsidRDefault="0098530D" w:rsidP="00552502">
            <w:pPr>
              <w:pStyle w:val="Texto"/>
              <w:spacing w:line="226" w:lineRule="exact"/>
              <w:ind w:firstLine="0"/>
              <w:jc w:val="center"/>
              <w:rPr>
                <w:b/>
              </w:rPr>
            </w:pPr>
            <w:r w:rsidRPr="00AB7CA1">
              <w:rPr>
                <w:b/>
              </w:rPr>
              <w:t>Primer antecedente</w:t>
            </w:r>
          </w:p>
        </w:tc>
      </w:tr>
      <w:tr w:rsidR="0098530D" w:rsidRPr="00AB7CA1" w14:paraId="24A0F747"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64840ED" w14:textId="77777777" w:rsidR="0098530D" w:rsidRPr="00AB7CA1" w:rsidRDefault="0098530D" w:rsidP="00552502">
            <w:pPr>
              <w:pStyle w:val="Texto"/>
              <w:spacing w:line="226" w:lineRule="exact"/>
              <w:ind w:firstLine="0"/>
            </w:pPr>
            <w:r w:rsidRPr="00AB7CA1">
              <w:t>2008</w:t>
            </w:r>
          </w:p>
        </w:tc>
        <w:tc>
          <w:tcPr>
            <w:tcW w:w="3237" w:type="pct"/>
            <w:tcBorders>
              <w:top w:val="single" w:sz="6" w:space="0" w:color="auto"/>
              <w:left w:val="single" w:sz="6" w:space="0" w:color="auto"/>
              <w:bottom w:val="single" w:sz="6" w:space="0" w:color="auto"/>
              <w:right w:val="single" w:sz="6" w:space="0" w:color="auto"/>
            </w:tcBorders>
          </w:tcPr>
          <w:p w14:paraId="4CEFBFE1" w14:textId="77777777" w:rsidR="0098530D" w:rsidRPr="00AB7CA1" w:rsidRDefault="0098530D" w:rsidP="00552502">
            <w:pPr>
              <w:pStyle w:val="Texto"/>
              <w:spacing w:line="226" w:lineRule="exact"/>
              <w:ind w:firstLine="0"/>
            </w:pPr>
            <w:r w:rsidRPr="00AB7CA1">
              <w:t>Oficio 600-04-02-2008-75872 de 1 de septiembre de 2008, mediante el cual se dan a conocer los criterios normativos aprobados a agosto de 2008. Oficio 600-04-02-2009-73416 de 7 de enero de 2009, a través del cual se da a conocer el Boletín 2008, con número de criterio normativo 3/2008/ISR.</w:t>
            </w:r>
          </w:p>
        </w:tc>
      </w:tr>
    </w:tbl>
    <w:p w14:paraId="4E3B1EC8" w14:textId="77777777" w:rsidR="0098530D" w:rsidRPr="00AB7CA1" w:rsidRDefault="0098530D" w:rsidP="0098530D">
      <w:pPr>
        <w:pStyle w:val="Texto"/>
        <w:spacing w:line="226" w:lineRule="exact"/>
        <w:rPr>
          <w:b/>
        </w:rPr>
      </w:pPr>
    </w:p>
    <w:p w14:paraId="4D18BD24" w14:textId="77777777" w:rsidR="0098530D" w:rsidRPr="00AB7CA1" w:rsidRDefault="0098530D" w:rsidP="0098530D">
      <w:pPr>
        <w:pStyle w:val="Texto"/>
        <w:spacing w:line="226" w:lineRule="exact"/>
        <w:ind w:left="2736" w:hanging="1152"/>
        <w:rPr>
          <w:b/>
          <w:lang w:val="es-ES_tradnl"/>
        </w:rPr>
      </w:pPr>
      <w:r w:rsidRPr="00AB7CA1">
        <w:rPr>
          <w:b/>
        </w:rPr>
        <w:lastRenderedPageBreak/>
        <w:t>19/ISR/N</w:t>
      </w:r>
      <w:r w:rsidRPr="00AB7CA1">
        <w:rPr>
          <w:b/>
        </w:rPr>
        <w:tab/>
      </w:r>
      <w:r w:rsidRPr="00AB7CA1">
        <w:rPr>
          <w:b/>
          <w:lang w:val="es-ES_tradnl"/>
        </w:rPr>
        <w:t>Pérdidas por créditos incobrables. Notoria imposibilidad práctica</w:t>
      </w:r>
      <w:r>
        <w:rPr>
          <w:b/>
          <w:lang w:val="es-ES_tradnl"/>
        </w:rPr>
        <w:t xml:space="preserve"> </w:t>
      </w:r>
      <w:r w:rsidRPr="00AB7CA1">
        <w:rPr>
          <w:b/>
          <w:lang w:val="es-ES_tradnl"/>
        </w:rPr>
        <w:t>de cobro.</w:t>
      </w:r>
    </w:p>
    <w:p w14:paraId="491CE9CA" w14:textId="77777777" w:rsidR="0098530D" w:rsidRPr="00AB7CA1" w:rsidRDefault="0098530D" w:rsidP="0098530D">
      <w:pPr>
        <w:pStyle w:val="Texto"/>
        <w:spacing w:line="226" w:lineRule="exact"/>
        <w:ind w:left="2736" w:hanging="1152"/>
      </w:pPr>
      <w:r w:rsidRPr="00AB7CA1">
        <w:rPr>
          <w:b/>
          <w:lang w:val="es-ES_tradnl"/>
        </w:rPr>
        <w:tab/>
      </w:r>
      <w:r w:rsidRPr="00AB7CA1">
        <w:t>El artículo 27, fracción XV de la Ley del ISR establece como requisito para deducir las pérdidas por créditos incobrables, que estas se consideren realizadas en el mes en el que se consuma el plazo de prescripción que corresponda o antes si fuera notoria la imposibilidad práctica de cobro.</w:t>
      </w:r>
    </w:p>
    <w:p w14:paraId="7541D0CF" w14:textId="77777777" w:rsidR="0098530D" w:rsidRPr="00AB7CA1" w:rsidRDefault="0098530D" w:rsidP="0098530D">
      <w:pPr>
        <w:pStyle w:val="Texto"/>
        <w:spacing w:line="226" w:lineRule="exact"/>
        <w:ind w:left="2736" w:hanging="1152"/>
      </w:pPr>
      <w:r w:rsidRPr="00AB7CA1">
        <w:tab/>
        <w:t>Para los efectos del mismo artículo, el inciso b) de la fracción citada considera que existe notoria imposibilidad práctica de cobro, entre otros casos, tratándose de créditos cuya suerte principal al día de su vencimiento sea mayor a 30,000 UDIS, cuando el acreedor obtenga resolución definitiva emitida por la autoridad competente con la que demuestra haber agotado las gestiones de cobro o, en su caso, que fue imposible la ejecución de la resolución favorable, además, se cumpla con lo previsto en el párrafo final del inciso a) de la misma fracción</w:t>
      </w:r>
      <w:r>
        <w:t>.</w:t>
      </w:r>
    </w:p>
    <w:p w14:paraId="78F47AA6" w14:textId="77777777" w:rsidR="0098530D" w:rsidRPr="00AB7CA1" w:rsidRDefault="0098530D" w:rsidP="0098530D">
      <w:pPr>
        <w:pStyle w:val="Texto"/>
        <w:spacing w:line="226" w:lineRule="exact"/>
        <w:ind w:left="2736" w:hanging="1152"/>
      </w:pPr>
      <w:r w:rsidRPr="00AB7CA1">
        <w:tab/>
        <w:t>El último párrafo del inciso a) de la fracción referida prevé que cuando el deudor del crédito de que se trate sea contribuyente que realiza actividades empresariales y el acreedor informe por escrito al deudor de que se trate, que efectuará la deducción del crédito incobrable, a fin de que el deudor acumule el ingreso derivado de la deuda no cubierta en los términos de la Ley del ISR y que los contribuyentes que apliquen el párrafo citado, deberán informar a más tardar el 15 de febrero de cada año de los créditos incobrables que dedujeron en los términos de ese párrafo en el año calendario inmediato anterior.</w:t>
      </w:r>
    </w:p>
    <w:p w14:paraId="56123068" w14:textId="77777777" w:rsidR="0098530D" w:rsidRPr="00AB7CA1" w:rsidRDefault="0098530D" w:rsidP="0098530D">
      <w:pPr>
        <w:pStyle w:val="Texto"/>
        <w:spacing w:line="226" w:lineRule="exact"/>
        <w:ind w:left="2736" w:hanging="1152"/>
      </w:pPr>
      <w:r w:rsidRPr="00AB7CA1">
        <w:tab/>
        <w:t>En este sentido, la expresión “se cumpla” utilizada en el inciso b), al referirse al párrafo final del inciso a), alude a una obligación.</w:t>
      </w:r>
    </w:p>
    <w:p w14:paraId="12D7FA99" w14:textId="77777777" w:rsidR="0098530D" w:rsidRPr="00AB7CA1" w:rsidRDefault="0098530D" w:rsidP="0098530D">
      <w:pPr>
        <w:pStyle w:val="Texto"/>
        <w:spacing w:line="230" w:lineRule="exact"/>
        <w:ind w:left="2736" w:hanging="1152"/>
      </w:pPr>
      <w:r w:rsidRPr="00AB7CA1">
        <w:tab/>
        <w:t>Por tanto, el deber previsto en el inciso b), solo es aplicable a la segunda parte del párrafo final del inciso a), en cuanto a la obligación del acreedor de informar por escrito al deudor que efectuará la deducción de la pérdida por el crédito incobrable, para que este acumule el ingreso derivado de la deuda no cubierta, y la de informar a más tardar el 15 de febrero de cada año, de las pérdidas por créditos incobrables que dedujo en el año inmediato anterior.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42769AB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02B579E1" w14:textId="77777777" w:rsidR="0098530D" w:rsidRPr="00AB7CA1" w:rsidRDefault="0098530D" w:rsidP="00552502">
            <w:pPr>
              <w:pStyle w:val="Texto"/>
              <w:spacing w:line="230"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07116C5B" w14:textId="77777777" w:rsidR="0098530D" w:rsidRPr="00AB7CA1" w:rsidRDefault="0098530D" w:rsidP="00552502">
            <w:pPr>
              <w:pStyle w:val="Texto"/>
              <w:spacing w:line="230" w:lineRule="exact"/>
              <w:ind w:firstLine="0"/>
              <w:jc w:val="center"/>
              <w:rPr>
                <w:b/>
              </w:rPr>
            </w:pPr>
            <w:r w:rsidRPr="00AB7CA1">
              <w:rPr>
                <w:b/>
              </w:rPr>
              <w:t>Primer antecedente</w:t>
            </w:r>
          </w:p>
        </w:tc>
      </w:tr>
      <w:tr w:rsidR="0098530D" w:rsidRPr="00AB7CA1" w14:paraId="100961A0"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5B19CC56" w14:textId="77777777" w:rsidR="0098530D" w:rsidRPr="00AB7CA1" w:rsidRDefault="0098530D" w:rsidP="00552502">
            <w:pPr>
              <w:pStyle w:val="Texto"/>
              <w:spacing w:line="230" w:lineRule="exact"/>
              <w:ind w:firstLine="0"/>
            </w:pPr>
            <w:r w:rsidRPr="00AB7CA1">
              <w:t>2009</w:t>
            </w:r>
          </w:p>
        </w:tc>
        <w:tc>
          <w:tcPr>
            <w:tcW w:w="3237" w:type="pct"/>
            <w:tcBorders>
              <w:top w:val="single" w:sz="6" w:space="0" w:color="auto"/>
              <w:left w:val="single" w:sz="6" w:space="0" w:color="auto"/>
              <w:bottom w:val="single" w:sz="6" w:space="0" w:color="auto"/>
              <w:right w:val="single" w:sz="6" w:space="0" w:color="auto"/>
            </w:tcBorders>
          </w:tcPr>
          <w:p w14:paraId="07C0F1D0" w14:textId="77777777" w:rsidR="0098530D" w:rsidRPr="00AB7CA1" w:rsidRDefault="0098530D" w:rsidP="00552502">
            <w:pPr>
              <w:pStyle w:val="Texto"/>
              <w:spacing w:line="230" w:lineRule="exact"/>
              <w:ind w:firstLine="0"/>
            </w:pPr>
            <w:r w:rsidRPr="00AB7CA1">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57/2009/ISR.</w:t>
            </w:r>
          </w:p>
        </w:tc>
      </w:tr>
    </w:tbl>
    <w:p w14:paraId="52F2FF48" w14:textId="77777777" w:rsidR="0098530D" w:rsidRPr="00AB7CA1" w:rsidRDefault="0098530D" w:rsidP="0098530D">
      <w:pPr>
        <w:pStyle w:val="Texto"/>
        <w:spacing w:line="230" w:lineRule="exact"/>
        <w:ind w:left="2736" w:hanging="1152"/>
        <w:rPr>
          <w:b/>
        </w:rPr>
      </w:pPr>
    </w:p>
    <w:p w14:paraId="4F3843EC" w14:textId="77777777" w:rsidR="0098530D" w:rsidRPr="00AB7CA1" w:rsidRDefault="0098530D" w:rsidP="0098530D">
      <w:pPr>
        <w:pStyle w:val="Texto"/>
        <w:spacing w:line="230" w:lineRule="exact"/>
        <w:ind w:left="2736" w:hanging="1152"/>
        <w:rPr>
          <w:b/>
        </w:rPr>
      </w:pPr>
      <w:r w:rsidRPr="00AB7CA1">
        <w:rPr>
          <w:b/>
        </w:rPr>
        <w:t>20/ISR/N</w:t>
      </w:r>
      <w:r w:rsidRPr="00AB7CA1">
        <w:rPr>
          <w:b/>
        </w:rPr>
        <w:tab/>
        <w:t>Intereses no se consideran cantidades pagadas por concepto de ISR a cargo de terceros.</w:t>
      </w:r>
    </w:p>
    <w:p w14:paraId="3C929B9D" w14:textId="77777777" w:rsidR="0098530D" w:rsidRPr="00AB7CA1" w:rsidRDefault="0098530D" w:rsidP="0098530D">
      <w:pPr>
        <w:pStyle w:val="Texto"/>
        <w:spacing w:line="230" w:lineRule="exact"/>
        <w:ind w:left="2736" w:hanging="1152"/>
      </w:pPr>
      <w:r w:rsidRPr="00AB7CA1">
        <w:rPr>
          <w:b/>
        </w:rPr>
        <w:tab/>
      </w:r>
      <w:r w:rsidRPr="00AB7CA1">
        <w:t>El artículo 28, fracción I, primer párrafo, de la Ley del ISR establece que no serán deducibles para los efectos del Título II de dicha Ley, los pagos por ISR a cargo de terceros.</w:t>
      </w:r>
    </w:p>
    <w:p w14:paraId="5F689892" w14:textId="77777777" w:rsidR="0098530D" w:rsidRPr="00AB7CA1" w:rsidRDefault="0098530D" w:rsidP="0098530D">
      <w:pPr>
        <w:pStyle w:val="Texto"/>
        <w:spacing w:line="230" w:lineRule="exact"/>
        <w:ind w:left="2736" w:hanging="1152"/>
      </w:pPr>
      <w:r w:rsidRPr="00AB7CA1">
        <w:tab/>
        <w:t>El artículo 153, cuarto párrafo de la Ley citada dispone que cuando la persona que haga alguno de los pagos a que se refiere el Título V de la Ley del ISR, cubra por cuenta del contribuyente el impuesto que a este corresponda, el importe de dicho impuesto se considerará ingreso de los comprendidos en el Título referido.</w:t>
      </w:r>
    </w:p>
    <w:p w14:paraId="4AB1FE44" w14:textId="77777777" w:rsidR="0098530D" w:rsidRPr="00AB7CA1" w:rsidRDefault="0098530D" w:rsidP="0098530D">
      <w:pPr>
        <w:pStyle w:val="Texto"/>
        <w:spacing w:line="230" w:lineRule="exact"/>
        <w:ind w:left="2736" w:hanging="1152"/>
      </w:pPr>
      <w:r w:rsidRPr="00AB7CA1">
        <w:lastRenderedPageBreak/>
        <w:tab/>
        <w:t>El artículo 166, séptimo párrafo de la Ley del ISR prevé que el impuesto se pagará mediante retención que se efectuará por la persona que realice los pagos y se calculará aplicando a los intereses que obtenga el contribuyente, sin deducción alguna, la tasa que corresponda en cada caso.</w:t>
      </w:r>
    </w:p>
    <w:p w14:paraId="29745FC1" w14:textId="77777777" w:rsidR="0098530D" w:rsidRPr="00AB7CA1" w:rsidRDefault="0098530D" w:rsidP="0098530D">
      <w:pPr>
        <w:pStyle w:val="Texto"/>
        <w:spacing w:line="230" w:lineRule="exact"/>
        <w:ind w:left="2736" w:hanging="1152"/>
      </w:pPr>
      <w:r w:rsidRPr="00AB7CA1">
        <w:tab/>
        <w:t>En este orden de ideas, si la persona que realizó los pagos a que se refiere el párrafo anterior se obligó, contractualmente, a pagar las cantidades adicionales necesarias que tengan como fin asegurar que la cantidad neta, efectivamente recibida por el perceptor, sea igual a la cantidad total que el residente en el extranjero habría recibido de no haberse realizado retención alguna, se considera que dichas cantidades adicionales conservan la naturaleza de intereses pactados a favor de dicho residente.</w:t>
      </w:r>
    </w:p>
    <w:p w14:paraId="708A3BEA" w14:textId="77777777" w:rsidR="0098530D" w:rsidRPr="00AB7CA1" w:rsidRDefault="0098530D" w:rsidP="0098530D">
      <w:pPr>
        <w:pStyle w:val="Texto"/>
        <w:spacing w:line="230" w:lineRule="exact"/>
        <w:ind w:left="2736" w:hanging="1152"/>
      </w:pPr>
      <w:r w:rsidRPr="00AB7CA1">
        <w:tab/>
        <w:t>En consecuencia, para los efectos del artículo 28, fracción I de la Ley del ISR, las cantidades adicionales señaladas en el párrafo anterior, no se consideran pago del ISR a cargo de tercero.</w:t>
      </w:r>
    </w:p>
    <w:p w14:paraId="022960D2" w14:textId="77777777" w:rsidR="0098530D" w:rsidRPr="00AB7CA1" w:rsidRDefault="0098530D" w:rsidP="0098530D">
      <w:pPr>
        <w:pStyle w:val="Texto"/>
        <w:spacing w:line="230" w:lineRule="exact"/>
        <w:ind w:left="2736" w:hanging="1152"/>
      </w:pPr>
      <w:r w:rsidRPr="00AB7CA1">
        <w:tab/>
        <w:t>Lo anterior, toda vez que dichas cantidades adicionales, para los efectos del Título V de la Ley del ISR, son ingresos por intereses y, por tanto, deben ser considerados como tales para efectos de la determinación de la retención del ISR correspondiente a cargo del residente en el extranjero.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BC1BEB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0873FF7B" w14:textId="77777777" w:rsidR="0098530D" w:rsidRPr="00AB7CA1" w:rsidRDefault="0098530D" w:rsidP="00552502">
            <w:pPr>
              <w:pStyle w:val="Texto"/>
              <w:spacing w:line="230"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51CC516" w14:textId="77777777" w:rsidR="0098530D" w:rsidRPr="00AB7CA1" w:rsidRDefault="0098530D" w:rsidP="00552502">
            <w:pPr>
              <w:pStyle w:val="Texto"/>
              <w:spacing w:line="230" w:lineRule="exact"/>
              <w:ind w:firstLine="0"/>
              <w:jc w:val="center"/>
              <w:rPr>
                <w:b/>
              </w:rPr>
            </w:pPr>
            <w:r w:rsidRPr="00AB7CA1">
              <w:rPr>
                <w:b/>
              </w:rPr>
              <w:t>Primer antecedente</w:t>
            </w:r>
          </w:p>
        </w:tc>
      </w:tr>
      <w:tr w:rsidR="0098530D" w:rsidRPr="00AB7CA1" w14:paraId="45E42977"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2BD5175" w14:textId="77777777" w:rsidR="0098530D" w:rsidRPr="00AB7CA1" w:rsidRDefault="0098530D" w:rsidP="00552502">
            <w:pPr>
              <w:pStyle w:val="Texto"/>
              <w:spacing w:line="230" w:lineRule="exact"/>
              <w:ind w:firstLine="0"/>
            </w:pPr>
            <w:r w:rsidRPr="00AB7CA1">
              <w:t>2013</w:t>
            </w:r>
          </w:p>
        </w:tc>
        <w:tc>
          <w:tcPr>
            <w:tcW w:w="3237" w:type="pct"/>
            <w:tcBorders>
              <w:top w:val="single" w:sz="6" w:space="0" w:color="auto"/>
              <w:left w:val="single" w:sz="6" w:space="0" w:color="auto"/>
              <w:bottom w:val="single" w:sz="6" w:space="0" w:color="auto"/>
              <w:right w:val="single" w:sz="6" w:space="0" w:color="auto"/>
            </w:tcBorders>
          </w:tcPr>
          <w:p w14:paraId="63EAE871" w14:textId="77777777" w:rsidR="0098530D" w:rsidRPr="00AB7CA1" w:rsidRDefault="0098530D" w:rsidP="00552502">
            <w:pPr>
              <w:pStyle w:val="Texto"/>
              <w:spacing w:line="230" w:lineRule="exact"/>
              <w:ind w:firstLine="0"/>
            </w:pPr>
            <w:r w:rsidRPr="00AB7CA1">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64/2013/ISR.</w:t>
            </w:r>
          </w:p>
        </w:tc>
      </w:tr>
    </w:tbl>
    <w:p w14:paraId="5D17A214" w14:textId="77777777" w:rsidR="0098530D" w:rsidRPr="00AB7CA1" w:rsidRDefault="0098530D" w:rsidP="0098530D">
      <w:pPr>
        <w:pStyle w:val="Texto"/>
        <w:spacing w:line="240" w:lineRule="exact"/>
        <w:ind w:left="2736" w:hanging="1152"/>
        <w:rPr>
          <w:b/>
        </w:rPr>
      </w:pPr>
      <w:r w:rsidRPr="00AB7CA1">
        <w:rPr>
          <w:b/>
        </w:rPr>
        <w:t>21/ISR/N</w:t>
      </w:r>
      <w:r w:rsidRPr="00AB7CA1">
        <w:rPr>
          <w:b/>
        </w:rPr>
        <w:tab/>
        <w:t>Dádivas a servidores públicos. No son deducibles para los efectos</w:t>
      </w:r>
      <w:r>
        <w:rPr>
          <w:b/>
        </w:rPr>
        <w:t xml:space="preserve"> </w:t>
      </w:r>
      <w:r w:rsidRPr="00AB7CA1">
        <w:rPr>
          <w:b/>
        </w:rPr>
        <w:t>del ISR.</w:t>
      </w:r>
    </w:p>
    <w:p w14:paraId="6EB1D006" w14:textId="77777777" w:rsidR="0098530D" w:rsidRPr="00AB7CA1" w:rsidRDefault="0098530D" w:rsidP="0098530D">
      <w:pPr>
        <w:pStyle w:val="Texto"/>
        <w:spacing w:line="240" w:lineRule="exact"/>
        <w:ind w:left="2736" w:hanging="1152"/>
      </w:pPr>
      <w:r w:rsidRPr="00AB7CA1">
        <w:rPr>
          <w:b/>
        </w:rPr>
        <w:tab/>
      </w:r>
      <w:r w:rsidRPr="00AB7CA1">
        <w:t>El artículo 28, fracción III de la Ley del ISR establece que no serán deducibles los obsequios, atenciones y otros gastos de naturaleza análoga, con excepción de aquéllos referidos en la propia disposición.</w:t>
      </w:r>
    </w:p>
    <w:p w14:paraId="36867290" w14:textId="77777777" w:rsidR="0098530D" w:rsidRPr="00AB7CA1" w:rsidRDefault="0098530D" w:rsidP="0098530D">
      <w:pPr>
        <w:pStyle w:val="Texto"/>
        <w:spacing w:line="240" w:lineRule="exact"/>
        <w:ind w:left="2736" w:hanging="1152"/>
      </w:pPr>
      <w:r w:rsidRPr="00AB7CA1">
        <w:tab/>
        <w:t>De los artículos 222 y 222 bis del Código Penal Federal se desprende que los delitos de cohecho y de cohecho a servidores públicos extranjeros consisten en dar, por sí o por interpósita persona, cualquier clase de dádiva como dinero, bienes o servicios, a servidores públicos, incluso extranjeros, o a terceros para que el servidor público haga o deje de hacer algo justo o injusto relacionado con sus funciones.</w:t>
      </w:r>
    </w:p>
    <w:p w14:paraId="5EE5C5DE" w14:textId="77777777" w:rsidR="0098530D" w:rsidRPr="00AB7CA1" w:rsidRDefault="0098530D" w:rsidP="0098530D">
      <w:pPr>
        <w:pStyle w:val="Texto"/>
        <w:spacing w:line="240" w:lineRule="exact"/>
        <w:ind w:left="2736" w:hanging="1152"/>
      </w:pPr>
      <w:r w:rsidRPr="00AB7CA1">
        <w:tab/>
        <w:t>Dicha conducta implica que cualquier erogación efectuada por el contribuyente que se ubique en los supuestos de los tipos penales señalados, habrá sido efectuada en contravención a las leyes de orden público.</w:t>
      </w:r>
    </w:p>
    <w:p w14:paraId="2FE4C166" w14:textId="77777777" w:rsidR="0098530D" w:rsidRPr="00AB7CA1" w:rsidRDefault="0098530D" w:rsidP="0098530D">
      <w:pPr>
        <w:pStyle w:val="Texto"/>
        <w:spacing w:line="240" w:lineRule="exact"/>
        <w:ind w:left="2736" w:hanging="1152"/>
      </w:pPr>
      <w:r w:rsidRPr="00AB7CA1">
        <w:tab/>
        <w:t>Lo anterior, conforme a los artículos 1830 y 1831 del Código Civil Federal, en relación con el 8o. de dicho Código, que establecen que es ilícito el hecho que es contrario a las leyes de orden público y que el fin o motivo determinante de la voluntad tampoco debe ser contrario a dichas leyes, resultando como sanción su nulidad.</w:t>
      </w:r>
    </w:p>
    <w:p w14:paraId="75DC212C" w14:textId="77777777" w:rsidR="0098530D" w:rsidRPr="00AB7CA1" w:rsidRDefault="0098530D" w:rsidP="0098530D">
      <w:pPr>
        <w:pStyle w:val="Texto"/>
        <w:spacing w:line="240" w:lineRule="exact"/>
        <w:ind w:left="2736" w:hanging="1152"/>
      </w:pPr>
      <w:r w:rsidRPr="00AB7CA1">
        <w:tab/>
        <w:t>En ese sentido, las erogaciones, para ser consideradas deducciones autorizadas, no deben ser contrarias a las leyes de orden público, incluso cuando se realicen en el extranjero.</w:t>
      </w:r>
    </w:p>
    <w:p w14:paraId="18F17AE4" w14:textId="77777777" w:rsidR="0098530D" w:rsidRPr="00AB7CA1" w:rsidRDefault="0098530D" w:rsidP="0098530D">
      <w:pPr>
        <w:pStyle w:val="Texto"/>
        <w:spacing w:line="240" w:lineRule="exact"/>
        <w:ind w:left="2736" w:hanging="1152"/>
      </w:pPr>
      <w:r w:rsidRPr="00AB7CA1">
        <w:tab/>
        <w:t xml:space="preserve">Debido a las consideraciones anteriores, las erogaciones consistentes en dar por sí o por interpósita persona, dinero, bienes o servicios, a servidores </w:t>
      </w:r>
      <w:r w:rsidRPr="00AB7CA1">
        <w:lastRenderedPageBreak/>
        <w:t>públicos, incluso extranjeros o a terceros, no constituyen deducciones autorizadas para los efectos del ISR, debido a que se ubican en el supuesto previsto por el artículo 28, fracción III de la Ley del ISR y se realizan en contravención a las leyes de orden público, con independencia de que dichas erogaciones se encuentren relacionadas o no con la investigación o sanción por los tipos penales aludidos.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4060AE5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03043182" w14:textId="77777777" w:rsidR="0098530D" w:rsidRPr="00AB7CA1" w:rsidRDefault="0098530D" w:rsidP="00552502">
            <w:pPr>
              <w:pStyle w:val="Texto"/>
              <w:spacing w:line="240"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2EBEFF0" w14:textId="77777777" w:rsidR="0098530D" w:rsidRPr="00AB7CA1" w:rsidRDefault="0098530D" w:rsidP="00552502">
            <w:pPr>
              <w:pStyle w:val="Texto"/>
              <w:spacing w:line="240" w:lineRule="exact"/>
              <w:ind w:firstLine="0"/>
              <w:jc w:val="center"/>
              <w:rPr>
                <w:b/>
              </w:rPr>
            </w:pPr>
            <w:r w:rsidRPr="00AB7CA1">
              <w:rPr>
                <w:b/>
              </w:rPr>
              <w:t>Primer antecedente</w:t>
            </w:r>
          </w:p>
        </w:tc>
      </w:tr>
      <w:tr w:rsidR="0098530D" w:rsidRPr="00AB7CA1" w14:paraId="238F2027"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580E375F" w14:textId="77777777" w:rsidR="0098530D" w:rsidRPr="00AB7CA1" w:rsidRDefault="0098530D" w:rsidP="00552502">
            <w:pPr>
              <w:pStyle w:val="Texto"/>
              <w:spacing w:line="240" w:lineRule="exact"/>
              <w:ind w:firstLine="0"/>
            </w:pPr>
            <w:r w:rsidRPr="00AB7CA1">
              <w:t>2012</w:t>
            </w:r>
          </w:p>
        </w:tc>
        <w:tc>
          <w:tcPr>
            <w:tcW w:w="3237" w:type="pct"/>
            <w:tcBorders>
              <w:top w:val="single" w:sz="6" w:space="0" w:color="auto"/>
              <w:left w:val="single" w:sz="6" w:space="0" w:color="auto"/>
              <w:bottom w:val="single" w:sz="6" w:space="0" w:color="auto"/>
              <w:right w:val="single" w:sz="6" w:space="0" w:color="auto"/>
            </w:tcBorders>
          </w:tcPr>
          <w:p w14:paraId="346F0E94" w14:textId="77777777" w:rsidR="0098530D" w:rsidRPr="00AB7CA1" w:rsidRDefault="0098530D" w:rsidP="00552502">
            <w:pPr>
              <w:pStyle w:val="Texto"/>
              <w:spacing w:line="240" w:lineRule="exact"/>
              <w:ind w:firstLine="0"/>
            </w:pPr>
            <w:r w:rsidRPr="00AB7CA1">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60/2012/ISR.</w:t>
            </w:r>
          </w:p>
        </w:tc>
      </w:tr>
    </w:tbl>
    <w:p w14:paraId="44D15095" w14:textId="77777777" w:rsidR="0098530D" w:rsidRPr="00AB7CA1" w:rsidRDefault="0098530D" w:rsidP="0098530D">
      <w:pPr>
        <w:pStyle w:val="Texto"/>
        <w:spacing w:line="240" w:lineRule="exact"/>
        <w:ind w:left="2736" w:hanging="1152"/>
        <w:rPr>
          <w:b/>
        </w:rPr>
      </w:pPr>
    </w:p>
    <w:p w14:paraId="2D0D4ADB" w14:textId="77777777" w:rsidR="0098530D" w:rsidRPr="00AB7CA1" w:rsidRDefault="0098530D" w:rsidP="0098530D">
      <w:pPr>
        <w:pStyle w:val="Texto"/>
        <w:spacing w:line="240" w:lineRule="exact"/>
        <w:ind w:left="2736" w:hanging="1152"/>
        <w:rPr>
          <w:b/>
        </w:rPr>
      </w:pPr>
      <w:r w:rsidRPr="00AB7CA1">
        <w:rPr>
          <w:b/>
        </w:rPr>
        <w:t>22/ISR/N</w:t>
      </w:r>
      <w:r w:rsidRPr="00AB7CA1">
        <w:rPr>
          <w:b/>
        </w:rPr>
        <w:tab/>
        <w:t>Crédito comercial. No es deducible el sobreprecio que paga el contribuyente por la adquisición de un bien.</w:t>
      </w:r>
    </w:p>
    <w:p w14:paraId="71FD8E85" w14:textId="77777777" w:rsidR="0098530D" w:rsidRPr="00AB7CA1" w:rsidRDefault="0098530D" w:rsidP="0098530D">
      <w:pPr>
        <w:pStyle w:val="Texto"/>
        <w:spacing w:line="240" w:lineRule="exact"/>
        <w:ind w:left="2736" w:hanging="1152"/>
      </w:pPr>
      <w:r w:rsidRPr="00AB7CA1">
        <w:rPr>
          <w:b/>
        </w:rPr>
        <w:tab/>
      </w:r>
      <w:r w:rsidRPr="00AB7CA1">
        <w:t>De conformidad con el artículo 28, fracción XII de la Ley del ISR no es deducible el crédito comercial, aún cuando sea adquirido de terceros.</w:t>
      </w:r>
    </w:p>
    <w:p w14:paraId="275171CA" w14:textId="77777777" w:rsidR="0098530D" w:rsidRPr="00AB7CA1" w:rsidRDefault="0098530D" w:rsidP="0098530D">
      <w:pPr>
        <w:pStyle w:val="Texto"/>
        <w:spacing w:line="240" w:lineRule="exact"/>
        <w:ind w:left="2736" w:hanging="1152"/>
      </w:pPr>
      <w:r w:rsidRPr="00AB7CA1">
        <w:tab/>
        <w:t>Ahora bien, por crédito comercial debe entenderse el sobreprecio que respecto de su valor real, nominal o de mercado, paga el contribuyente por una adquisición.</w:t>
      </w:r>
    </w:p>
    <w:p w14:paraId="7A871464" w14:textId="77777777" w:rsidR="0098530D" w:rsidRPr="00AB7CA1" w:rsidRDefault="0098530D" w:rsidP="0098530D">
      <w:pPr>
        <w:pStyle w:val="Texto"/>
        <w:spacing w:line="240" w:lineRule="exact"/>
        <w:ind w:left="2736" w:hanging="1152"/>
      </w:pPr>
      <w:r w:rsidRPr="00AB7CA1">
        <w:tab/>
        <w:t>Por ello, el sobreprecio que paga el contribuyente por la adquisición de un bien, por encima de su valor real, nominal o de mercado, no es deducible para efectos del ISR.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5B8D003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B264182" w14:textId="77777777" w:rsidR="0098530D" w:rsidRPr="00AB7CA1" w:rsidRDefault="0098530D" w:rsidP="00552502">
            <w:pPr>
              <w:pStyle w:val="Texto"/>
              <w:spacing w:after="88"/>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75ABD165" w14:textId="77777777" w:rsidR="0098530D" w:rsidRPr="00AB7CA1" w:rsidRDefault="0098530D" w:rsidP="00552502">
            <w:pPr>
              <w:pStyle w:val="Texto"/>
              <w:spacing w:after="88"/>
              <w:ind w:firstLine="0"/>
              <w:jc w:val="center"/>
              <w:rPr>
                <w:b/>
              </w:rPr>
            </w:pPr>
            <w:r w:rsidRPr="00AB7CA1">
              <w:rPr>
                <w:b/>
              </w:rPr>
              <w:t>Primer antecedente</w:t>
            </w:r>
          </w:p>
        </w:tc>
      </w:tr>
      <w:tr w:rsidR="0098530D" w:rsidRPr="00AB7CA1" w14:paraId="5557CC7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B4ED10B" w14:textId="77777777" w:rsidR="0098530D" w:rsidRPr="00AB7CA1" w:rsidRDefault="0098530D" w:rsidP="00552502">
            <w:pPr>
              <w:pStyle w:val="Texto"/>
              <w:spacing w:after="88"/>
              <w:ind w:firstLine="0"/>
            </w:pPr>
            <w:r w:rsidRPr="00AB7CA1">
              <w:t>2008</w:t>
            </w:r>
          </w:p>
        </w:tc>
        <w:tc>
          <w:tcPr>
            <w:tcW w:w="3237" w:type="pct"/>
            <w:tcBorders>
              <w:top w:val="single" w:sz="6" w:space="0" w:color="auto"/>
              <w:left w:val="single" w:sz="6" w:space="0" w:color="auto"/>
              <w:bottom w:val="single" w:sz="6" w:space="0" w:color="auto"/>
              <w:right w:val="single" w:sz="6" w:space="0" w:color="auto"/>
            </w:tcBorders>
          </w:tcPr>
          <w:p w14:paraId="29B66545" w14:textId="77777777" w:rsidR="0098530D" w:rsidRPr="00AB7CA1" w:rsidRDefault="0098530D" w:rsidP="00552502">
            <w:pPr>
              <w:pStyle w:val="Texto"/>
              <w:spacing w:after="88"/>
              <w:ind w:firstLine="0"/>
            </w:pPr>
            <w:r w:rsidRPr="00AB7CA1">
              <w:t>Oficio 600-04-02-2008-75872 de 1 de septiembre de 2008, mediante el cual se dan a conocer los criterios normativos aprobados a agosto de 2008. Oficio 600-04-02-2009-73416 de 7 de enero de 2009, a través del cual se da a conocer el Boletín 2008, con número de criterio normativo 5/2008/ISR.</w:t>
            </w:r>
          </w:p>
        </w:tc>
      </w:tr>
    </w:tbl>
    <w:p w14:paraId="244C37F1" w14:textId="77777777" w:rsidR="0098530D" w:rsidRPr="00AB7CA1" w:rsidRDefault="0098530D" w:rsidP="0098530D">
      <w:pPr>
        <w:pStyle w:val="Texto"/>
        <w:spacing w:after="88"/>
        <w:ind w:left="2736" w:hanging="1152"/>
        <w:rPr>
          <w:b/>
        </w:rPr>
      </w:pPr>
    </w:p>
    <w:p w14:paraId="1B0AE74E" w14:textId="77777777" w:rsidR="0098530D" w:rsidRPr="00AB7CA1" w:rsidRDefault="0098530D" w:rsidP="0098530D">
      <w:pPr>
        <w:pStyle w:val="Texto"/>
        <w:spacing w:after="88"/>
        <w:ind w:left="2736" w:hanging="1152"/>
        <w:rPr>
          <w:b/>
        </w:rPr>
      </w:pPr>
      <w:r w:rsidRPr="00AB7CA1">
        <w:rPr>
          <w:b/>
        </w:rPr>
        <w:t>23/ISR/N</w:t>
      </w:r>
      <w:r w:rsidRPr="00AB7CA1">
        <w:rPr>
          <w:b/>
        </w:rPr>
        <w:tab/>
        <w:t>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p w14:paraId="0C584B25" w14:textId="77777777" w:rsidR="0098530D" w:rsidRPr="00AB7CA1" w:rsidRDefault="0098530D" w:rsidP="0098530D">
      <w:pPr>
        <w:pStyle w:val="Texto"/>
        <w:spacing w:after="88"/>
        <w:ind w:left="2736" w:hanging="1152"/>
      </w:pPr>
      <w:r w:rsidRPr="00AB7CA1">
        <w:rPr>
          <w:b/>
        </w:rPr>
        <w:tab/>
      </w:r>
      <w:r w:rsidRPr="00AB7CA1">
        <w:t>El artículo 28, fracción XXVII, primer párrafo de la Ley del ISR establece que, para los efectos del Título II de dicha Ley, no serán deducibles los intereses que deriven del monto de las deudas del contribuyente que excedan del triple de su capital contable, que provengan de deudas contraídas con partes relacionadas residentes en el extranjero en los términos del artículo 179 de la Ley citada.</w:t>
      </w:r>
    </w:p>
    <w:p w14:paraId="32477993" w14:textId="77777777" w:rsidR="0098530D" w:rsidRPr="00AB7CA1" w:rsidRDefault="0098530D" w:rsidP="0098530D">
      <w:pPr>
        <w:pStyle w:val="Texto"/>
        <w:spacing w:after="88"/>
        <w:ind w:left="2736" w:hanging="1152"/>
      </w:pPr>
      <w:r w:rsidRPr="00AB7CA1">
        <w:tab/>
        <w:t>El artículo 8, sexto párrafo de la Ley del ISR señala que se dará el tratamiento que dicha Ley dispone para los intereses a las ganancias o pérdidas cambiarias, devengadas por la fluctuación de la moneda extranjera, incluyendo las correspondientes al principal y al interés mismo.</w:t>
      </w:r>
    </w:p>
    <w:p w14:paraId="7B0FB98A" w14:textId="77777777" w:rsidR="0098530D" w:rsidRPr="00AB7CA1" w:rsidRDefault="0098530D" w:rsidP="0098530D">
      <w:pPr>
        <w:pStyle w:val="Texto"/>
        <w:spacing w:after="88"/>
        <w:ind w:left="2736" w:hanging="1152"/>
      </w:pPr>
      <w:r w:rsidRPr="00AB7CA1">
        <w:lastRenderedPageBreak/>
        <w:tab/>
        <w:t>En consecuencia, las pérdidas cambiarias devengadas por la fluctuación de la moneda extranjera que deriven del monto de las deudas del contribuyente que excedan del triple de su capital contable, que provengan de deudas contraídas con partes relacionadas residentes en el extranjero en los términos del artículo 179 de la Ley del ISR, no son deducibles de conformidad con el artículo 28, fracción XXVII, primer párrafo de dicha Ley.</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ACDBD06"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54DEBBB" w14:textId="77777777" w:rsidR="0098530D" w:rsidRPr="00AB7CA1" w:rsidRDefault="0098530D" w:rsidP="00552502">
            <w:pPr>
              <w:pStyle w:val="Texto"/>
              <w:spacing w:after="88"/>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9591D81" w14:textId="77777777" w:rsidR="0098530D" w:rsidRPr="00AB7CA1" w:rsidRDefault="0098530D" w:rsidP="00552502">
            <w:pPr>
              <w:pStyle w:val="Texto"/>
              <w:spacing w:after="88"/>
              <w:ind w:firstLine="0"/>
              <w:jc w:val="center"/>
              <w:rPr>
                <w:b/>
              </w:rPr>
            </w:pPr>
            <w:r w:rsidRPr="00AB7CA1">
              <w:rPr>
                <w:b/>
              </w:rPr>
              <w:t>Primer antecedente</w:t>
            </w:r>
          </w:p>
        </w:tc>
      </w:tr>
      <w:tr w:rsidR="0098530D" w:rsidRPr="00AB7CA1" w14:paraId="273CB08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1D95CE2" w14:textId="77777777" w:rsidR="0098530D" w:rsidRPr="00AB7CA1" w:rsidRDefault="0098530D" w:rsidP="00552502">
            <w:pPr>
              <w:pStyle w:val="Texto"/>
              <w:spacing w:after="88"/>
              <w:ind w:firstLine="0"/>
            </w:pPr>
            <w:r w:rsidRPr="00AB7CA1">
              <w:t>2012</w:t>
            </w:r>
          </w:p>
        </w:tc>
        <w:tc>
          <w:tcPr>
            <w:tcW w:w="3237" w:type="pct"/>
            <w:tcBorders>
              <w:top w:val="single" w:sz="6" w:space="0" w:color="auto"/>
              <w:left w:val="single" w:sz="6" w:space="0" w:color="auto"/>
              <w:bottom w:val="single" w:sz="6" w:space="0" w:color="auto"/>
              <w:right w:val="single" w:sz="6" w:space="0" w:color="auto"/>
            </w:tcBorders>
          </w:tcPr>
          <w:p w14:paraId="7ACD0B70" w14:textId="77777777" w:rsidR="0098530D" w:rsidRPr="00AB7CA1" w:rsidRDefault="0098530D" w:rsidP="00552502">
            <w:pPr>
              <w:pStyle w:val="Texto"/>
              <w:spacing w:after="88"/>
              <w:ind w:firstLine="0"/>
            </w:pPr>
            <w:r w:rsidRPr="00AB7CA1">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62/2012/ISR.</w:t>
            </w:r>
          </w:p>
        </w:tc>
      </w:tr>
    </w:tbl>
    <w:p w14:paraId="5E4C6FEC" w14:textId="77777777" w:rsidR="0098530D" w:rsidRPr="00AB7CA1" w:rsidRDefault="0098530D" w:rsidP="0098530D">
      <w:pPr>
        <w:pStyle w:val="Texto"/>
        <w:spacing w:after="88"/>
        <w:ind w:left="2736" w:hanging="1152"/>
        <w:rPr>
          <w:b/>
        </w:rPr>
      </w:pPr>
    </w:p>
    <w:p w14:paraId="356EA4E0" w14:textId="77777777" w:rsidR="0098530D" w:rsidRPr="00AB7CA1" w:rsidRDefault="0098530D" w:rsidP="0098530D">
      <w:pPr>
        <w:pStyle w:val="Texto"/>
        <w:spacing w:after="88"/>
        <w:ind w:left="2736" w:hanging="1152"/>
        <w:rPr>
          <w:b/>
        </w:rPr>
      </w:pPr>
      <w:r w:rsidRPr="00AB7CA1">
        <w:rPr>
          <w:b/>
        </w:rPr>
        <w:t>24/ISR/N</w:t>
      </w:r>
      <w:r w:rsidRPr="00AB7CA1">
        <w:rPr>
          <w:b/>
        </w:rPr>
        <w:tab/>
        <w:t>Deducciones del ISR. Los vehículos denominados pick up son camiones de carga.</w:t>
      </w:r>
    </w:p>
    <w:p w14:paraId="70B7EDAE" w14:textId="77777777" w:rsidR="0098530D" w:rsidRPr="00AB7CA1" w:rsidRDefault="0098530D" w:rsidP="0098530D">
      <w:pPr>
        <w:pStyle w:val="Texto"/>
        <w:spacing w:after="88"/>
        <w:ind w:left="2736" w:hanging="1152"/>
      </w:pPr>
      <w:r w:rsidRPr="00AB7CA1">
        <w:rPr>
          <w:b/>
        </w:rPr>
        <w:tab/>
      </w:r>
      <w:r w:rsidRPr="00AB7CA1">
        <w:t>El artículo 36, fracción II de la Ley del ISR establece que la inversión en automóviles solo será deducible hasta por un monto de $175,000.00. Tratándose de inversiones realizadas en automóviles cuya propulsión sea a través de baterías eléctricas recargables, así como los automóviles eléctricos que además cuenten con motor de combustión interna o con motor accionado por hidrógeno, solo serán deducibles hasta por un monto de $250,000.00.</w:t>
      </w:r>
    </w:p>
    <w:p w14:paraId="5B2610EA" w14:textId="77777777" w:rsidR="0098530D" w:rsidRPr="00AB7CA1" w:rsidRDefault="0098530D" w:rsidP="0098530D">
      <w:pPr>
        <w:pStyle w:val="Texto"/>
        <w:spacing w:after="88"/>
        <w:ind w:left="2736" w:hanging="1152"/>
      </w:pPr>
      <w:r w:rsidRPr="00AB7CA1">
        <w:tab/>
        <w:t>El artículo 34, fracción VI de la misma Ley dispone que tratándose de automóviles, autobuses, camiones de carga, tractocamiones, montacargas y remolques, el porciento máximo autorizado como deducción es del 25%.</w:t>
      </w:r>
    </w:p>
    <w:p w14:paraId="5E63BFA4" w14:textId="77777777" w:rsidR="0098530D" w:rsidRPr="00AB7CA1" w:rsidRDefault="0098530D" w:rsidP="0098530D">
      <w:pPr>
        <w:pStyle w:val="Texto"/>
        <w:spacing w:after="88"/>
        <w:ind w:left="2736" w:hanging="1152"/>
      </w:pPr>
      <w:r w:rsidRPr="00AB7CA1">
        <w:tab/>
        <w:t>El artículo 3-A del Reglamento de la Ley del ISR, define al automóvil como aquel vehículo terrestre para el transporte de hasta diez pasajeros, incluido el conductor, precisando en su segundo párrafo que no se consideran comprendidas en la definición anterior las motocicletas, ya sea de dos a cuatro ruedas.</w:t>
      </w:r>
    </w:p>
    <w:p w14:paraId="33BBE03A" w14:textId="77777777" w:rsidR="0098530D" w:rsidRPr="00AB7CA1" w:rsidRDefault="0098530D" w:rsidP="0098530D">
      <w:pPr>
        <w:pStyle w:val="Texto"/>
        <w:spacing w:line="228" w:lineRule="exact"/>
        <w:ind w:left="2736" w:hanging="1152"/>
      </w:pPr>
      <w:r w:rsidRPr="00AB7CA1">
        <w:tab/>
        <w:t>Sin embargo, tanto la Ley del ISR como su Reglamento no definen lo que debe entenderse por vehículos o camiones de carga, por lo que acorde con lo previsto en el artículo 5o., segundo párrafo del CFF, se aplica de manera supletoria el Reglamento de Tránsito en Carreteras y Puentes de Jurisdicción Federal, mismo que en su artículo 2, fracciones IX y X, en relación con el artículo 24, apartado A, fracción II, inciso a) y b), segundo párrafo, numeral 6 define a los vehículos pick up como camión unitario ligero y camión unitario pesado.</w:t>
      </w:r>
    </w:p>
    <w:p w14:paraId="4995EF41" w14:textId="77777777" w:rsidR="0098530D" w:rsidRPr="00AB7CA1" w:rsidRDefault="0098530D" w:rsidP="0098530D">
      <w:pPr>
        <w:pStyle w:val="Texto"/>
        <w:spacing w:line="228" w:lineRule="exact"/>
        <w:ind w:left="2736" w:hanging="1152"/>
      </w:pPr>
      <w:r w:rsidRPr="00AB7CA1">
        <w:tab/>
        <w:t>En este sentido, los vehículos denominados pick up son camiones de carga destinados al transporte de mercancías, por lo que no deben ser considerados como automóviles para efectos de la Ley del ISR.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EF605E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180876D1" w14:textId="77777777" w:rsidR="0098530D" w:rsidRPr="00AB7CA1" w:rsidRDefault="0098530D" w:rsidP="00552502">
            <w:pPr>
              <w:pStyle w:val="Texto"/>
              <w:spacing w:line="228"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17C3007A" w14:textId="77777777" w:rsidR="0098530D" w:rsidRPr="00AB7CA1" w:rsidRDefault="0098530D" w:rsidP="00552502">
            <w:pPr>
              <w:pStyle w:val="Texto"/>
              <w:spacing w:line="228" w:lineRule="exact"/>
              <w:ind w:firstLine="0"/>
              <w:jc w:val="center"/>
              <w:rPr>
                <w:b/>
              </w:rPr>
            </w:pPr>
            <w:r w:rsidRPr="00AB7CA1">
              <w:rPr>
                <w:b/>
              </w:rPr>
              <w:t>Primer antecedente</w:t>
            </w:r>
          </w:p>
        </w:tc>
      </w:tr>
      <w:tr w:rsidR="0098530D" w:rsidRPr="00AB7CA1" w14:paraId="4414D1F5"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2F4DA153" w14:textId="77777777" w:rsidR="0098530D" w:rsidRPr="00AB7CA1" w:rsidRDefault="0098530D" w:rsidP="00552502">
            <w:pPr>
              <w:pStyle w:val="Texto"/>
              <w:spacing w:line="228" w:lineRule="exact"/>
              <w:ind w:firstLine="0"/>
            </w:pPr>
            <w:r w:rsidRPr="00AB7CA1">
              <w:t>2009</w:t>
            </w:r>
          </w:p>
        </w:tc>
        <w:tc>
          <w:tcPr>
            <w:tcW w:w="3237" w:type="pct"/>
            <w:tcBorders>
              <w:top w:val="single" w:sz="6" w:space="0" w:color="auto"/>
              <w:left w:val="single" w:sz="6" w:space="0" w:color="auto"/>
              <w:bottom w:val="single" w:sz="6" w:space="0" w:color="auto"/>
              <w:right w:val="single" w:sz="6" w:space="0" w:color="auto"/>
            </w:tcBorders>
          </w:tcPr>
          <w:p w14:paraId="5032B349" w14:textId="77777777" w:rsidR="0098530D" w:rsidRPr="00AB7CA1" w:rsidRDefault="0098530D" w:rsidP="00552502">
            <w:pPr>
              <w:pStyle w:val="Texto"/>
              <w:spacing w:line="228" w:lineRule="exact"/>
              <w:ind w:firstLine="0"/>
            </w:pPr>
            <w:r w:rsidRPr="00AB7CA1">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60/2009/ISR.</w:t>
            </w:r>
          </w:p>
        </w:tc>
      </w:tr>
    </w:tbl>
    <w:p w14:paraId="6DC7870E" w14:textId="77777777" w:rsidR="0098530D" w:rsidRPr="00AB7CA1" w:rsidRDefault="0098530D" w:rsidP="0098530D">
      <w:pPr>
        <w:pStyle w:val="Texto"/>
        <w:spacing w:line="228" w:lineRule="exact"/>
        <w:ind w:left="2736" w:hanging="1152"/>
        <w:rPr>
          <w:b/>
        </w:rPr>
      </w:pPr>
    </w:p>
    <w:p w14:paraId="1A95293C" w14:textId="77777777" w:rsidR="0098530D" w:rsidRPr="00AB7CA1" w:rsidRDefault="0098530D" w:rsidP="0098530D">
      <w:pPr>
        <w:pStyle w:val="Texto"/>
        <w:spacing w:line="228" w:lineRule="exact"/>
        <w:ind w:left="2736" w:hanging="1152"/>
        <w:rPr>
          <w:b/>
        </w:rPr>
      </w:pPr>
      <w:r w:rsidRPr="00AB7CA1">
        <w:rPr>
          <w:b/>
        </w:rPr>
        <w:lastRenderedPageBreak/>
        <w:t>25/ISR/N</w:t>
      </w:r>
      <w:r w:rsidRPr="00AB7CA1">
        <w:rPr>
          <w:b/>
        </w:rPr>
        <w:tab/>
        <w:t>Cálculo del ajuste anual por inflación. No debe considerarse el IVA acreditable.</w:t>
      </w:r>
    </w:p>
    <w:p w14:paraId="675BB418" w14:textId="77777777" w:rsidR="0098530D" w:rsidRPr="00AB7CA1" w:rsidRDefault="0098530D" w:rsidP="0098530D">
      <w:pPr>
        <w:pStyle w:val="Texto"/>
        <w:spacing w:line="228" w:lineRule="exact"/>
        <w:ind w:left="2736" w:hanging="1152"/>
      </w:pPr>
      <w:r w:rsidRPr="00AB7CA1">
        <w:rPr>
          <w:b/>
        </w:rPr>
        <w:tab/>
      </w:r>
      <w:r w:rsidRPr="00AB7CA1">
        <w:t>El ajuste anual por inflación de créditos se determina de conformidad con lo establecido por los artículos 44 y 45 de la Ley del ISR.</w:t>
      </w:r>
    </w:p>
    <w:p w14:paraId="4418D9A1" w14:textId="77777777" w:rsidR="0098530D" w:rsidRPr="00AB7CA1" w:rsidRDefault="0098530D" w:rsidP="0098530D">
      <w:pPr>
        <w:pStyle w:val="Texto"/>
        <w:spacing w:line="228" w:lineRule="exact"/>
        <w:ind w:left="2736" w:hanging="1152"/>
      </w:pPr>
      <w:r w:rsidRPr="00AB7CA1">
        <w:tab/>
        <w:t>De conformidad con el artículo 4o. de la Ley del IVA, se entiende por impuesto acreditable el monto equivalente al IVA que hubiera sido trasladado al contribuyente y el propio impuesto que este hubiese pagado con motivo de la importación de bienes o servicios, en el mes que corresponda.</w:t>
      </w:r>
    </w:p>
    <w:p w14:paraId="0861D853" w14:textId="77777777" w:rsidR="0098530D" w:rsidRPr="00AB7CA1" w:rsidRDefault="0098530D" w:rsidP="0098530D">
      <w:pPr>
        <w:pStyle w:val="Texto"/>
        <w:spacing w:line="228" w:lineRule="exact"/>
        <w:ind w:left="2736" w:hanging="1152"/>
      </w:pPr>
      <w:r w:rsidRPr="00AB7CA1">
        <w:tab/>
        <w:t>En este sentido, la Ley del IVA, de acuerdo con los artículos 1o., cuarto párrafo y 4o., solo da derecho a restar, comparar o acreditar el IVA acreditable contra el IVA que el mismo contribuyente hubiera trasladado, con el objeto de determinar periódicamente un saldo a favor o impuesto a pagar, es decir, el IVA acreditable no es un concepto exigible a la autoridad fiscal y, por tanto, no constituye crédito a su favor o cuenta por cobrar.</w:t>
      </w:r>
    </w:p>
    <w:p w14:paraId="2CB48BAB" w14:textId="77777777" w:rsidR="0098530D" w:rsidRPr="00AB7CA1" w:rsidRDefault="0098530D" w:rsidP="0098530D">
      <w:pPr>
        <w:pStyle w:val="Texto"/>
        <w:spacing w:line="228" w:lineRule="exact"/>
        <w:ind w:left="2736" w:hanging="1152"/>
      </w:pPr>
      <w:r w:rsidRPr="00AB7CA1">
        <w:tab/>
        <w:t>Por ello, el IVA acreditable al no ser un crédito no debe considerarse en la determinación del ajuste anual por inflación.</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627E528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55EFCB5" w14:textId="77777777" w:rsidR="0098530D" w:rsidRPr="00AB7CA1" w:rsidRDefault="0098530D" w:rsidP="00552502">
            <w:pPr>
              <w:pStyle w:val="Texto"/>
              <w:spacing w:line="228"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48118093" w14:textId="77777777" w:rsidR="0098530D" w:rsidRPr="00AB7CA1" w:rsidRDefault="0098530D" w:rsidP="00552502">
            <w:pPr>
              <w:pStyle w:val="Texto"/>
              <w:spacing w:line="228" w:lineRule="exact"/>
              <w:ind w:firstLine="0"/>
              <w:jc w:val="center"/>
              <w:rPr>
                <w:b/>
              </w:rPr>
            </w:pPr>
            <w:r w:rsidRPr="00AB7CA1">
              <w:rPr>
                <w:b/>
              </w:rPr>
              <w:t>Primer antecedente</w:t>
            </w:r>
          </w:p>
        </w:tc>
      </w:tr>
      <w:tr w:rsidR="0098530D" w:rsidRPr="00AB7CA1" w14:paraId="064A2A1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2331F28C" w14:textId="77777777" w:rsidR="0098530D" w:rsidRPr="00AB7CA1" w:rsidRDefault="0098530D" w:rsidP="00552502">
            <w:pPr>
              <w:pStyle w:val="Texto"/>
              <w:spacing w:line="228" w:lineRule="exact"/>
              <w:ind w:firstLine="0"/>
            </w:pPr>
            <w:r w:rsidRPr="00AB7CA1">
              <w:t>6.</w:t>
            </w:r>
          </w:p>
        </w:tc>
        <w:tc>
          <w:tcPr>
            <w:tcW w:w="3237" w:type="pct"/>
            <w:tcBorders>
              <w:top w:val="single" w:sz="6" w:space="0" w:color="auto"/>
              <w:left w:val="single" w:sz="6" w:space="0" w:color="auto"/>
              <w:bottom w:val="single" w:sz="6" w:space="0" w:color="auto"/>
              <w:right w:val="single" w:sz="6" w:space="0" w:color="auto"/>
            </w:tcBorders>
          </w:tcPr>
          <w:p w14:paraId="4E3299FC" w14:textId="77777777" w:rsidR="0098530D" w:rsidRPr="00AB7CA1" w:rsidRDefault="0098530D" w:rsidP="00552502">
            <w:pPr>
              <w:pStyle w:val="Texto"/>
              <w:spacing w:line="228" w:lineRule="exact"/>
              <w:ind w:firstLine="0"/>
            </w:pPr>
            <w:r w:rsidRPr="00AB7CA1">
              <w:t>Oficio 325-A-VII-10973 de 3 de diciembre de 1996, a través del cual se hacen del conocimiento diversos criterios normativos.</w:t>
            </w:r>
          </w:p>
        </w:tc>
      </w:tr>
    </w:tbl>
    <w:p w14:paraId="663CBFFD" w14:textId="77777777" w:rsidR="0098530D" w:rsidRPr="00AB7CA1" w:rsidRDefault="0098530D" w:rsidP="0098530D">
      <w:pPr>
        <w:pStyle w:val="Texto"/>
        <w:spacing w:line="228" w:lineRule="exact"/>
        <w:ind w:left="2736" w:hanging="1152"/>
        <w:rPr>
          <w:b/>
        </w:rPr>
      </w:pPr>
    </w:p>
    <w:p w14:paraId="439E49BE" w14:textId="77777777" w:rsidR="0098530D" w:rsidRPr="00AB7CA1" w:rsidRDefault="0098530D" w:rsidP="0098530D">
      <w:pPr>
        <w:pStyle w:val="Texto"/>
        <w:spacing w:line="228" w:lineRule="exact"/>
        <w:ind w:left="2736" w:hanging="1152"/>
        <w:rPr>
          <w:b/>
        </w:rPr>
      </w:pPr>
      <w:r w:rsidRPr="00AB7CA1">
        <w:rPr>
          <w:b/>
        </w:rPr>
        <w:t>26/ISR/N</w:t>
      </w:r>
      <w:r w:rsidRPr="00AB7CA1">
        <w:rPr>
          <w:b/>
        </w:rPr>
        <w:tab/>
        <w:t>Operaciones financieras derivadas de capital referenciadas al tipo de cambio de una divisa. El hecho de estar previstas en una disposición que regula la no retención por el pago de intereses no altera su naturaleza.</w:t>
      </w:r>
    </w:p>
    <w:p w14:paraId="2A7FC907" w14:textId="77777777" w:rsidR="0098530D" w:rsidRPr="00AB7CA1" w:rsidRDefault="0098530D" w:rsidP="0098530D">
      <w:pPr>
        <w:pStyle w:val="Texto"/>
        <w:spacing w:line="228" w:lineRule="exact"/>
        <w:ind w:left="2736" w:hanging="1152"/>
      </w:pPr>
      <w:r w:rsidRPr="00AB7CA1">
        <w:rPr>
          <w:b/>
        </w:rPr>
        <w:tab/>
      </w:r>
      <w:r w:rsidRPr="00AB7CA1">
        <w:t>El artículo 16-A, segundo párrafo del CFF establece que se consideran operaciones financieras derivadas de deuda, aquéllas que estén referidas a tasas de interés, títulos de deuda o al INPC, y que se entiende por operaciones financieras derivadas de capital, aquéllas que estén referidas, entre otros supuestos, a divisas.</w:t>
      </w:r>
    </w:p>
    <w:p w14:paraId="034FE491" w14:textId="77777777" w:rsidR="0098530D" w:rsidRPr="00AB7CA1" w:rsidRDefault="0098530D" w:rsidP="0098530D">
      <w:pPr>
        <w:pStyle w:val="Texto"/>
        <w:spacing w:line="218" w:lineRule="exact"/>
        <w:ind w:left="2736" w:hanging="1152"/>
      </w:pPr>
      <w:r w:rsidRPr="00AB7CA1">
        <w:tab/>
        <w:t>El artículo 54, segundo párrafo, fracción VII de la Ley del ISR establece que no se efectuará la retención por el pago de intereses tratándose de las ganancias obtenidas en las operaciones financieras derivadas de capital referenciadas al tipo de cambio de una divisa que se realicen en los mercados reconocidos a que se refiere el artículo 16-C, fracción I del CFF.</w:t>
      </w:r>
    </w:p>
    <w:p w14:paraId="2B004C0B" w14:textId="77777777" w:rsidR="0098530D" w:rsidRPr="00AB7CA1" w:rsidRDefault="0098530D" w:rsidP="0098530D">
      <w:pPr>
        <w:pStyle w:val="Texto"/>
        <w:spacing w:line="218" w:lineRule="exact"/>
        <w:ind w:left="2736" w:hanging="1152"/>
      </w:pPr>
      <w:r w:rsidRPr="00AB7CA1">
        <w:tab/>
        <w:t>El artículo 20, cuarto párrafo de la Ley en comento prevé que se dará el tratamiento establecido en dicha Ley para los intereses, a la ganancia o la pérdida proveniente de operaciones financieras derivadas de deuda; sin embargo, dicho tratamiento no es extensivo a las operaciones financieras derivadas de capital en los términos de las disposiciones referidas.</w:t>
      </w:r>
    </w:p>
    <w:p w14:paraId="457212C5" w14:textId="77777777" w:rsidR="0098530D" w:rsidRPr="00AB7CA1" w:rsidRDefault="0098530D" w:rsidP="0098530D">
      <w:pPr>
        <w:pStyle w:val="Texto"/>
        <w:spacing w:line="218" w:lineRule="exact"/>
        <w:ind w:left="2736" w:hanging="1152"/>
      </w:pPr>
      <w:r w:rsidRPr="00AB7CA1">
        <w:tab/>
        <w:t>Por tanto, el hecho de que el artículo 54, segundo párrafo, fracción VII de la Ley del ISR prevea un supuesto de no retención tratándose de las ganancias obtenidas en las operaciones financieras derivadas de capital referenciadas al tipo de cambio de una divisa, no les otorga la naturaleza de operaciones financieras derivadas de deuda ni de intereses.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7FE80AA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4446F911" w14:textId="77777777" w:rsidR="0098530D" w:rsidRPr="00AB7CA1" w:rsidRDefault="0098530D" w:rsidP="00552502">
            <w:pPr>
              <w:pStyle w:val="Texto"/>
              <w:spacing w:line="218"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71CDD16C" w14:textId="77777777" w:rsidR="0098530D" w:rsidRPr="00AB7CA1" w:rsidRDefault="0098530D" w:rsidP="00552502">
            <w:pPr>
              <w:pStyle w:val="Texto"/>
              <w:spacing w:line="218" w:lineRule="exact"/>
              <w:ind w:firstLine="0"/>
              <w:jc w:val="center"/>
              <w:rPr>
                <w:b/>
              </w:rPr>
            </w:pPr>
            <w:r w:rsidRPr="00AB7CA1">
              <w:rPr>
                <w:b/>
              </w:rPr>
              <w:t>Primer antecedente</w:t>
            </w:r>
          </w:p>
        </w:tc>
      </w:tr>
      <w:tr w:rsidR="0098530D" w:rsidRPr="00AB7CA1" w14:paraId="2B26BD6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3EE852A" w14:textId="77777777" w:rsidR="0098530D" w:rsidRPr="00AB7CA1" w:rsidRDefault="0098530D" w:rsidP="00552502">
            <w:pPr>
              <w:pStyle w:val="Texto"/>
              <w:spacing w:line="218" w:lineRule="exact"/>
              <w:ind w:firstLine="0"/>
            </w:pPr>
            <w:r w:rsidRPr="00AB7CA1">
              <w:lastRenderedPageBreak/>
              <w:t>2014</w:t>
            </w:r>
          </w:p>
        </w:tc>
        <w:tc>
          <w:tcPr>
            <w:tcW w:w="3237" w:type="pct"/>
            <w:tcBorders>
              <w:top w:val="single" w:sz="6" w:space="0" w:color="auto"/>
              <w:left w:val="single" w:sz="6" w:space="0" w:color="auto"/>
              <w:bottom w:val="single" w:sz="6" w:space="0" w:color="auto"/>
              <w:right w:val="single" w:sz="6" w:space="0" w:color="auto"/>
            </w:tcBorders>
          </w:tcPr>
          <w:p w14:paraId="7077488A" w14:textId="77777777" w:rsidR="0098530D" w:rsidRPr="00AB7CA1" w:rsidRDefault="0098530D" w:rsidP="00552502">
            <w:pPr>
              <w:pStyle w:val="Texto"/>
              <w:spacing w:line="218" w:lineRule="exact"/>
              <w:ind w:firstLine="0"/>
            </w:pPr>
            <w:r w:rsidRPr="00AB7CA1">
              <w:t>Oficio 600-04-07-2014-3066 de 6 de mayo de 2014, mediante el cual se dan a conocer los criterios normativos aprobados en el primer trimestre 2014. Oficio 600-04-07-2014-87371 de 17 de diciembre de 2014, a través del cual se da a conocer el Boletín 2014, con el número de criterio normativo 29/2014/ISR.</w:t>
            </w:r>
          </w:p>
        </w:tc>
      </w:tr>
    </w:tbl>
    <w:p w14:paraId="083C3E22" w14:textId="77777777" w:rsidR="0098530D" w:rsidRPr="00AB7CA1" w:rsidRDefault="0098530D" w:rsidP="0098530D">
      <w:pPr>
        <w:pStyle w:val="Texto"/>
        <w:spacing w:line="218" w:lineRule="exact"/>
        <w:ind w:left="2736" w:hanging="1152"/>
        <w:rPr>
          <w:b/>
        </w:rPr>
      </w:pPr>
    </w:p>
    <w:p w14:paraId="0A28568D" w14:textId="77777777" w:rsidR="0098530D" w:rsidRPr="00AB7CA1" w:rsidRDefault="0098530D" w:rsidP="0098530D">
      <w:pPr>
        <w:pStyle w:val="Texto"/>
        <w:spacing w:line="218" w:lineRule="exact"/>
        <w:ind w:left="2736" w:hanging="1152"/>
        <w:rPr>
          <w:b/>
          <w:lang w:val="es-ES_tradnl"/>
        </w:rPr>
      </w:pPr>
      <w:r w:rsidRPr="00AB7CA1">
        <w:rPr>
          <w:b/>
        </w:rPr>
        <w:t>27/ISR/N</w:t>
      </w:r>
      <w:r w:rsidRPr="00AB7CA1">
        <w:rPr>
          <w:b/>
        </w:rPr>
        <w:tab/>
      </w:r>
      <w:r w:rsidRPr="00AB7CA1">
        <w:rPr>
          <w:b/>
          <w:lang w:val="es-ES_tradnl"/>
        </w:rPr>
        <w:t>Actualización de pérdidas fiscales. Factor aplicable.</w:t>
      </w:r>
    </w:p>
    <w:p w14:paraId="488D1B8A" w14:textId="77777777" w:rsidR="0098530D" w:rsidRPr="00AB7CA1" w:rsidRDefault="0098530D" w:rsidP="0098530D">
      <w:pPr>
        <w:pStyle w:val="Texto"/>
        <w:spacing w:line="218" w:lineRule="exact"/>
        <w:ind w:left="2736" w:hanging="1152"/>
      </w:pPr>
      <w:r w:rsidRPr="00AB7CA1">
        <w:rPr>
          <w:b/>
          <w:lang w:val="es-ES_tradnl"/>
        </w:rPr>
        <w:tab/>
      </w:r>
      <w:r w:rsidRPr="00AB7CA1">
        <w:t>De conformidad con el artículo 57 de la Ley del ISR, el monto de la pérdida fiscal ocurrida en un ejercicio debe ser actualizado multiplicándolo por el factor correspondiente al periodo comprendido desde el primer mes de la segunda mitad del ejercicio en que ocurrió, hasta el último mes del propio ejercicio.</w:t>
      </w:r>
    </w:p>
    <w:p w14:paraId="68665F70" w14:textId="77777777" w:rsidR="0098530D" w:rsidRPr="00AB7CA1" w:rsidRDefault="0098530D" w:rsidP="0098530D">
      <w:pPr>
        <w:pStyle w:val="Texto"/>
        <w:spacing w:line="218" w:lineRule="exact"/>
        <w:ind w:left="2736" w:hanging="1152"/>
      </w:pPr>
      <w:r w:rsidRPr="00AB7CA1">
        <w:tab/>
        <w:t>El artículo 6, fracción II de la citada Ley, establece que para determinar el valor de un bien o de una operación al término de un periodo el factor de actualización se obtendrá dividiendo el INPC del mes más reciente del periodo, entre el citado índice correspondiente al mes más antiguo del periodo.</w:t>
      </w:r>
    </w:p>
    <w:p w14:paraId="3A683184" w14:textId="77777777" w:rsidR="0098530D" w:rsidRPr="00AB7CA1" w:rsidRDefault="0098530D" w:rsidP="0098530D">
      <w:pPr>
        <w:pStyle w:val="Texto"/>
        <w:spacing w:line="218" w:lineRule="exact"/>
        <w:ind w:left="2736" w:hanging="1152"/>
      </w:pPr>
      <w:r w:rsidRPr="00AB7CA1">
        <w:tab/>
        <w:t>Por tanto, en términos del artículo 6, fracción II de la Ley del ISR, el factor para actualizar la pérdida fiscal referida en el citado artículo 57 de la Ley del ISR, se obtendrá dividiendo el INPC del mes de diciembre del ejercicio en que ocurrió la pérdida, entre el correspondiente al mes de julio del mismo ejercicio.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97E8FA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4A406906" w14:textId="77777777" w:rsidR="0098530D" w:rsidRPr="00AB7CA1" w:rsidRDefault="0098530D" w:rsidP="00552502">
            <w:pPr>
              <w:pStyle w:val="Texto"/>
              <w:spacing w:line="218"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409DD61" w14:textId="77777777" w:rsidR="0098530D" w:rsidRPr="00AB7CA1" w:rsidRDefault="0098530D" w:rsidP="00552502">
            <w:pPr>
              <w:pStyle w:val="Texto"/>
              <w:spacing w:line="218" w:lineRule="exact"/>
              <w:ind w:firstLine="0"/>
              <w:jc w:val="center"/>
              <w:rPr>
                <w:b/>
              </w:rPr>
            </w:pPr>
            <w:r w:rsidRPr="00AB7CA1">
              <w:rPr>
                <w:b/>
              </w:rPr>
              <w:t>Primer antecedente</w:t>
            </w:r>
          </w:p>
        </w:tc>
      </w:tr>
      <w:tr w:rsidR="0098530D" w:rsidRPr="00AB7CA1" w14:paraId="7E977B4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75ADDF3" w14:textId="77777777" w:rsidR="0098530D" w:rsidRPr="00AB7CA1" w:rsidRDefault="0098530D" w:rsidP="00552502">
            <w:pPr>
              <w:pStyle w:val="Texto"/>
              <w:spacing w:line="218" w:lineRule="exact"/>
              <w:ind w:firstLine="0"/>
            </w:pPr>
            <w:r w:rsidRPr="00AB7CA1">
              <w:t>2.</w:t>
            </w:r>
          </w:p>
        </w:tc>
        <w:tc>
          <w:tcPr>
            <w:tcW w:w="3237" w:type="pct"/>
            <w:tcBorders>
              <w:top w:val="single" w:sz="6" w:space="0" w:color="auto"/>
              <w:left w:val="single" w:sz="6" w:space="0" w:color="auto"/>
              <w:bottom w:val="single" w:sz="6" w:space="0" w:color="auto"/>
              <w:right w:val="single" w:sz="6" w:space="0" w:color="auto"/>
            </w:tcBorders>
          </w:tcPr>
          <w:p w14:paraId="7401A803" w14:textId="77777777" w:rsidR="0098530D" w:rsidRPr="00AB7CA1" w:rsidRDefault="0098530D" w:rsidP="00552502">
            <w:pPr>
              <w:pStyle w:val="Texto"/>
              <w:spacing w:line="218" w:lineRule="exact"/>
              <w:ind w:firstLine="0"/>
            </w:pPr>
            <w:r w:rsidRPr="00AB7CA1">
              <w:t>Oficio 325-A-VII-10973 de 3 de diciembre de 1996, a través del cual se hacen del conocimiento diversos criterios normativos.</w:t>
            </w:r>
          </w:p>
        </w:tc>
      </w:tr>
    </w:tbl>
    <w:p w14:paraId="1461BDFF" w14:textId="77777777" w:rsidR="0098530D" w:rsidRPr="00AB7CA1" w:rsidRDefault="0098530D" w:rsidP="0098530D">
      <w:pPr>
        <w:pStyle w:val="Texto"/>
        <w:spacing w:line="218" w:lineRule="exact"/>
        <w:ind w:left="2736" w:hanging="1152"/>
        <w:rPr>
          <w:b/>
        </w:rPr>
      </w:pPr>
    </w:p>
    <w:p w14:paraId="04C299B6" w14:textId="77777777" w:rsidR="0098530D" w:rsidRPr="00AB7CA1" w:rsidRDefault="0098530D" w:rsidP="0098530D">
      <w:pPr>
        <w:pStyle w:val="Texto"/>
        <w:spacing w:line="218" w:lineRule="exact"/>
        <w:ind w:left="2736" w:hanging="1152"/>
        <w:rPr>
          <w:b/>
          <w:lang w:val="es-ES_tradnl"/>
        </w:rPr>
      </w:pPr>
      <w:r w:rsidRPr="00AB7CA1">
        <w:rPr>
          <w:b/>
        </w:rPr>
        <w:t>28/ISR/N</w:t>
      </w:r>
      <w:r w:rsidRPr="00AB7CA1">
        <w:rPr>
          <w:b/>
        </w:rPr>
        <w:tab/>
      </w:r>
      <w:r w:rsidRPr="00AB7CA1">
        <w:rPr>
          <w:b/>
          <w:lang w:val="es-ES_tradnl"/>
        </w:rPr>
        <w:t>Aumento de la pérdida fiscal en declaraciones complementarias.</w:t>
      </w:r>
    </w:p>
    <w:p w14:paraId="388F85D4" w14:textId="77777777" w:rsidR="0098530D" w:rsidRPr="00AB7CA1" w:rsidRDefault="0098530D" w:rsidP="0098530D">
      <w:pPr>
        <w:pStyle w:val="Texto"/>
        <w:spacing w:line="218" w:lineRule="exact"/>
        <w:ind w:left="2736" w:hanging="1152"/>
      </w:pPr>
      <w:r w:rsidRPr="00AB7CA1">
        <w:rPr>
          <w:b/>
          <w:lang w:val="es-ES_tradnl"/>
        </w:rPr>
        <w:tab/>
      </w:r>
      <w:r w:rsidRPr="00AB7CA1">
        <w:t>De conformidad con el artículo 57, tercer párrafo de la Ley del ISR, cuando el contribuyente no disminuya en un ejercicio la pérdida fiscal del ejercicio anterior, pudiendo haberlo hecho conforme al mencionado artículo, perderá el derecho a hacerlo en los ejercicios posteriores y hasta por la cantidad en la que pudo haberlo efectuado.</w:t>
      </w:r>
    </w:p>
    <w:p w14:paraId="750DDE05" w14:textId="77777777" w:rsidR="0098530D" w:rsidRPr="00AB7CA1" w:rsidRDefault="0098530D" w:rsidP="0098530D">
      <w:pPr>
        <w:pStyle w:val="Texto"/>
        <w:spacing w:line="218" w:lineRule="exact"/>
        <w:ind w:left="2736" w:hanging="1152"/>
      </w:pPr>
      <w:r w:rsidRPr="00AB7CA1">
        <w:tab/>
        <w:t>El segundo párrafo del mencionado artículo refiere que sólo podrá disminuirse la pérdida fiscal ocurrida en un ejercicio, contra la utilidad fiscal de los diez ejercicios siguientes hasta agotarla.</w:t>
      </w:r>
    </w:p>
    <w:p w14:paraId="300B5503" w14:textId="77777777" w:rsidR="0098530D" w:rsidRPr="00AB7CA1" w:rsidRDefault="0098530D" w:rsidP="0098530D">
      <w:pPr>
        <w:pStyle w:val="Texto"/>
        <w:spacing w:line="219" w:lineRule="exact"/>
        <w:ind w:left="2736" w:hanging="1152"/>
      </w:pPr>
      <w:r w:rsidRPr="00AB7CA1">
        <w:tab/>
        <w:t>Por lo tanto, si a través de declaración normal, declaración de corrección por dictamen y declaración de corrección, en los casos en los que la autoridad fiscal haya ejercido sus facultades de comprobación, el contribuyente incrementa la utilidad fiscal declarada o convierte la pérdida fiscal declarada en utilidad fiscal, se considera que no se pierde el derecho a disminuir una cantidad igual a la utilidad fiscal incrementada, o a disminuir adicionalmente, una cantidad igual a la pérdida convertida en utilidad fiscal, ya que la amortización correspondiente no pudo haberse hecho de conformidad con el mismo artículo 57 de la Ley del ISR.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38E03AC"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3DC91CD8" w14:textId="77777777" w:rsidR="0098530D" w:rsidRPr="00AB7CA1" w:rsidRDefault="0098530D" w:rsidP="00552502">
            <w:pPr>
              <w:pStyle w:val="Texto"/>
              <w:spacing w:line="219"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764729E" w14:textId="77777777" w:rsidR="0098530D" w:rsidRPr="00AB7CA1" w:rsidRDefault="0098530D" w:rsidP="00552502">
            <w:pPr>
              <w:pStyle w:val="Texto"/>
              <w:spacing w:line="219" w:lineRule="exact"/>
              <w:ind w:firstLine="0"/>
              <w:jc w:val="center"/>
              <w:rPr>
                <w:b/>
              </w:rPr>
            </w:pPr>
            <w:r w:rsidRPr="00AB7CA1">
              <w:rPr>
                <w:b/>
              </w:rPr>
              <w:t>Primer antecedente</w:t>
            </w:r>
          </w:p>
        </w:tc>
      </w:tr>
      <w:tr w:rsidR="0098530D" w:rsidRPr="00AB7CA1" w14:paraId="7906ABA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A2FA304" w14:textId="77777777" w:rsidR="0098530D" w:rsidRPr="00AB7CA1" w:rsidRDefault="0098530D" w:rsidP="00552502">
            <w:pPr>
              <w:pStyle w:val="Texto"/>
              <w:spacing w:line="219" w:lineRule="exact"/>
              <w:ind w:firstLine="0"/>
            </w:pPr>
            <w:r w:rsidRPr="00AB7CA1">
              <w:t>X/95</w:t>
            </w:r>
          </w:p>
        </w:tc>
        <w:tc>
          <w:tcPr>
            <w:tcW w:w="3237" w:type="pct"/>
            <w:tcBorders>
              <w:top w:val="single" w:sz="6" w:space="0" w:color="auto"/>
              <w:left w:val="single" w:sz="6" w:space="0" w:color="auto"/>
              <w:bottom w:val="single" w:sz="6" w:space="0" w:color="auto"/>
              <w:right w:val="single" w:sz="6" w:space="0" w:color="auto"/>
            </w:tcBorders>
          </w:tcPr>
          <w:p w14:paraId="208DBFE0" w14:textId="77777777" w:rsidR="0098530D" w:rsidRPr="00AB7CA1" w:rsidRDefault="0098530D" w:rsidP="00552502">
            <w:pPr>
              <w:pStyle w:val="Texto"/>
              <w:spacing w:line="219" w:lineRule="exact"/>
              <w:ind w:firstLine="0"/>
            </w:pPr>
            <w:r w:rsidRPr="00AB7CA1">
              <w:t>Boletín de Normatividad 1 mayo-junio de 1995.</w:t>
            </w:r>
          </w:p>
        </w:tc>
      </w:tr>
    </w:tbl>
    <w:p w14:paraId="0FF4C146" w14:textId="77777777" w:rsidR="0098530D" w:rsidRPr="00AB7CA1" w:rsidRDefault="0098530D" w:rsidP="0098530D">
      <w:pPr>
        <w:pStyle w:val="Texto"/>
        <w:spacing w:line="219" w:lineRule="exact"/>
        <w:ind w:left="2736" w:hanging="1152"/>
        <w:rPr>
          <w:b/>
        </w:rPr>
      </w:pPr>
    </w:p>
    <w:p w14:paraId="3BA7618A" w14:textId="77777777" w:rsidR="0098530D" w:rsidRPr="00AB7CA1" w:rsidRDefault="0098530D" w:rsidP="0098530D">
      <w:pPr>
        <w:pStyle w:val="Texto"/>
        <w:spacing w:line="219" w:lineRule="exact"/>
        <w:ind w:left="2736" w:hanging="1152"/>
        <w:rPr>
          <w:b/>
        </w:rPr>
      </w:pPr>
      <w:r w:rsidRPr="00AB7CA1">
        <w:rPr>
          <w:b/>
        </w:rPr>
        <w:lastRenderedPageBreak/>
        <w:t>29/ISR/N</w:t>
      </w:r>
      <w:r w:rsidRPr="00AB7CA1">
        <w:rPr>
          <w:b/>
        </w:rPr>
        <w:tab/>
        <w:t>Sociedades cooperativas de consumo. No están obligadas a pagar el ISR cuando enajenen bienes distintos de su activo fijo.</w:t>
      </w:r>
    </w:p>
    <w:p w14:paraId="1F55AD12" w14:textId="77777777" w:rsidR="0098530D" w:rsidRPr="00AB7CA1" w:rsidRDefault="0098530D" w:rsidP="0098530D">
      <w:pPr>
        <w:pStyle w:val="Texto"/>
        <w:spacing w:line="219" w:lineRule="exact"/>
        <w:ind w:left="2736" w:hanging="1152"/>
      </w:pPr>
      <w:r w:rsidRPr="00AB7CA1">
        <w:rPr>
          <w:b/>
        </w:rPr>
        <w:tab/>
      </w:r>
      <w:r w:rsidRPr="00AB7CA1">
        <w:t>El artículo 80, sexto párrafo de la Ley del ISR, señala que las personas morales con fines no lucrativos estarán obligadas a determinar dicho impuesto cuando se den cualquiera de las siguientes situaciones jurídicas o de hecho: a) enajenen bienes distintos de su activo fijo o, b) presten servicios a personas distintas de sus miembros, siempre que los ingresos derivados de dichas operaciones excedan del 5% de los ingresos totales de la persona moral en el ejercicio de que se trate.</w:t>
      </w:r>
    </w:p>
    <w:p w14:paraId="34DD5F63" w14:textId="77777777" w:rsidR="0098530D" w:rsidRPr="00AB7CA1" w:rsidRDefault="0098530D" w:rsidP="0098530D">
      <w:pPr>
        <w:pStyle w:val="Texto"/>
        <w:spacing w:line="219" w:lineRule="exact"/>
        <w:ind w:left="2736" w:hanging="1152"/>
      </w:pPr>
      <w:r w:rsidRPr="00AB7CA1">
        <w:tab/>
        <w:t>No obstante, de una interpretación armónica de los artículos 79, fracción VII y 80 de la Ley en cita, debe excluirse del referido supuesto a las sociedades cooperativas de consumo de bienes, en los casos en que estas enajenen bienes distintos de su activo fijo a sus miembros, ya que las mismas se crean con una finalidad social, sin objeto de lucro, adquiriendo o produciendo bienes y servicios para consumo de sus socios, a cambio de una contraprestación que utiliza la sociedad para seguir cumpliendo su objeto; por tanto, únicamente el ingreso que obtenga este tipo de cooperativas, por la enajenación de esos bienes a sus miembros, no debe causar el ISR.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68CDEE45"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BA11642" w14:textId="77777777" w:rsidR="0098530D" w:rsidRPr="00AB7CA1" w:rsidRDefault="0098530D" w:rsidP="00552502">
            <w:pPr>
              <w:pStyle w:val="Texto"/>
              <w:spacing w:line="219"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DDFABC8" w14:textId="77777777" w:rsidR="0098530D" w:rsidRPr="00AB7CA1" w:rsidRDefault="0098530D" w:rsidP="00552502">
            <w:pPr>
              <w:pStyle w:val="Texto"/>
              <w:spacing w:line="219" w:lineRule="exact"/>
              <w:ind w:firstLine="0"/>
              <w:jc w:val="center"/>
              <w:rPr>
                <w:b/>
              </w:rPr>
            </w:pPr>
            <w:r w:rsidRPr="00AB7CA1">
              <w:rPr>
                <w:b/>
              </w:rPr>
              <w:t>Primer antecedente</w:t>
            </w:r>
          </w:p>
        </w:tc>
      </w:tr>
      <w:tr w:rsidR="0098530D" w:rsidRPr="00AB7CA1" w14:paraId="38B9B25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F3ACC5F" w14:textId="77777777" w:rsidR="0098530D" w:rsidRPr="00AB7CA1" w:rsidRDefault="0098530D" w:rsidP="00552502">
            <w:pPr>
              <w:pStyle w:val="Texto"/>
              <w:spacing w:line="219" w:lineRule="exact"/>
              <w:ind w:firstLine="0"/>
            </w:pPr>
            <w:r w:rsidRPr="00AB7CA1">
              <w:t>18/2001/ISR</w:t>
            </w:r>
          </w:p>
        </w:tc>
        <w:tc>
          <w:tcPr>
            <w:tcW w:w="3237" w:type="pct"/>
            <w:tcBorders>
              <w:top w:val="single" w:sz="6" w:space="0" w:color="auto"/>
              <w:left w:val="single" w:sz="6" w:space="0" w:color="auto"/>
              <w:bottom w:val="single" w:sz="6" w:space="0" w:color="auto"/>
              <w:right w:val="single" w:sz="6" w:space="0" w:color="auto"/>
            </w:tcBorders>
          </w:tcPr>
          <w:p w14:paraId="4DBF234A" w14:textId="77777777" w:rsidR="0098530D" w:rsidRPr="00AB7CA1" w:rsidRDefault="0098530D" w:rsidP="00552502">
            <w:pPr>
              <w:pStyle w:val="Texto"/>
              <w:spacing w:line="219" w:lineRule="exact"/>
              <w:ind w:firstLine="0"/>
            </w:pPr>
            <w:r w:rsidRPr="00AB7CA1">
              <w:t>Oficio 325-SAT-A-31123 de 14 de septiembre de 2001, mediante el cual se da a conocer la nueva Compilación de Criterios Normativos 2001.</w:t>
            </w:r>
          </w:p>
        </w:tc>
      </w:tr>
    </w:tbl>
    <w:p w14:paraId="46FC6384" w14:textId="77777777" w:rsidR="0098530D" w:rsidRPr="00AB7CA1" w:rsidRDefault="0098530D" w:rsidP="0098530D">
      <w:pPr>
        <w:pStyle w:val="Texto"/>
        <w:spacing w:line="219" w:lineRule="exact"/>
        <w:ind w:left="2736" w:hanging="1152"/>
        <w:rPr>
          <w:b/>
        </w:rPr>
      </w:pPr>
    </w:p>
    <w:p w14:paraId="5B828E9A" w14:textId="77777777" w:rsidR="0098530D" w:rsidRPr="00AB7CA1" w:rsidRDefault="0098530D" w:rsidP="0098530D">
      <w:pPr>
        <w:pStyle w:val="Texto"/>
        <w:spacing w:line="219" w:lineRule="exact"/>
        <w:ind w:left="2736" w:hanging="1152"/>
      </w:pPr>
      <w:r w:rsidRPr="00AB7CA1">
        <w:rPr>
          <w:b/>
        </w:rPr>
        <w:t>30/ISR/N</w:t>
      </w:r>
      <w:r w:rsidRPr="00AB7CA1">
        <w:rPr>
          <w:b/>
        </w:rPr>
        <w:tab/>
        <w:t>Instituciones de enseñanza. Deben contar con reconocimiento de validez oficial de estudios para obtener la autorización para recibir donativos deducibles y considerarse personas morales con fines no lucrativos.</w:t>
      </w:r>
    </w:p>
    <w:p w14:paraId="3AA58702" w14:textId="77777777" w:rsidR="0098530D" w:rsidRPr="00AB7CA1" w:rsidRDefault="0098530D" w:rsidP="0098530D">
      <w:pPr>
        <w:pStyle w:val="Texto"/>
        <w:spacing w:line="219" w:lineRule="exact"/>
        <w:ind w:left="2736" w:hanging="1152"/>
      </w:pPr>
      <w:r w:rsidRPr="00AB7CA1">
        <w:rPr>
          <w:b/>
        </w:rPr>
        <w:tab/>
      </w:r>
      <w:r w:rsidRPr="00AB7CA1">
        <w:t>De conformidad con el artículo 79, fracción X de la Ley del ISR, se consideran personas morales con fines no lucrativos, las sociedades o asociaciones de carácter civil que se dediquen a la enseñanza, con autorización o reconocimiento de validez oficial de estudios en los términos de la Ley General de Educación, siempre que sean consideradas como instituciones autorizadas para recibir donativos deducibles en términos de la referida Ley.</w:t>
      </w:r>
    </w:p>
    <w:p w14:paraId="7B392221" w14:textId="77777777" w:rsidR="0098530D" w:rsidRPr="00AB7CA1" w:rsidRDefault="0098530D" w:rsidP="0098530D">
      <w:pPr>
        <w:pStyle w:val="Texto"/>
        <w:spacing w:line="219" w:lineRule="exact"/>
        <w:ind w:left="2736" w:hanging="1152"/>
      </w:pPr>
      <w:r w:rsidRPr="00AB7CA1">
        <w:tab/>
        <w:t>El artículo 146 de la Ley General de Educación señala que los particulares podrán impartir educación en todos sus tipos y modalidades, y que por lo que concierne a la educación preescolar, primaria, secundaria, normal y demás para la formación de maestros de educación básica, los particulares deberán obtener previamente, en cada caso, la autorización expresa del Estado, tratándose de estudios distintos de los antes mencionados, podrán obtener el reconocimiento de validez oficial de estudios.</w:t>
      </w:r>
    </w:p>
    <w:p w14:paraId="59DF33FD" w14:textId="77777777" w:rsidR="0098530D" w:rsidRPr="00AB7CA1" w:rsidRDefault="0098530D" w:rsidP="0098530D">
      <w:pPr>
        <w:pStyle w:val="Texto"/>
        <w:spacing w:after="80" w:line="211" w:lineRule="exact"/>
        <w:ind w:left="2736" w:hanging="1152"/>
      </w:pPr>
      <w:r w:rsidRPr="00AB7CA1">
        <w:tab/>
        <w:t>El artículo 5o. del CFF, establece que las disposiciones fiscales que establezcan cargas a los particulares que se refieran al sujeto, objeto, base, tasa o tarifa de una contribución y las excepciones a esta, deben aplicarse en forma estricta, por lo que el resto de las disposiciones tributarias se interpretarán aplicando cualquier método de interpretación jurídica.</w:t>
      </w:r>
    </w:p>
    <w:p w14:paraId="62DA4F3E" w14:textId="77777777" w:rsidR="0098530D" w:rsidRPr="00AB7CA1" w:rsidRDefault="0098530D" w:rsidP="0098530D">
      <w:pPr>
        <w:pStyle w:val="Texto"/>
        <w:spacing w:after="80" w:line="211" w:lineRule="exact"/>
        <w:ind w:left="2736" w:hanging="1152"/>
      </w:pPr>
      <w:r w:rsidRPr="00AB7CA1">
        <w:tab/>
        <w:t>En virtud de lo anterior, para que las sociedades o asociaciones de carácter civil dedicadas a la enseñanza sean consideradas personas morales con fines no lucrativos y obtengan la autorización para recibir donativos deducibles, deberán contar con el reconocimiento de validez oficial de estudios por cada nivel educativo que impartan, con independencia de que, conforme a la Ley General de Educación, no sea obligatorio obtener dicho reconocimiento, toda vez que se trata de un requisito expresamente previsto en la Ley del ISR.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30F97D98"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C1EF1A9" w14:textId="77777777" w:rsidR="0098530D" w:rsidRPr="00AB7CA1" w:rsidRDefault="0098530D" w:rsidP="00552502">
            <w:pPr>
              <w:pStyle w:val="Texto"/>
              <w:spacing w:after="80" w:line="211" w:lineRule="exact"/>
              <w:ind w:firstLine="0"/>
              <w:jc w:val="center"/>
              <w:rPr>
                <w:b/>
              </w:rPr>
            </w:pPr>
            <w:r w:rsidRPr="00AB7CA1">
              <w:rPr>
                <w:b/>
              </w:rPr>
              <w:lastRenderedPageBreak/>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7A29CF0F" w14:textId="77777777" w:rsidR="0098530D" w:rsidRPr="00AB7CA1" w:rsidRDefault="0098530D" w:rsidP="00552502">
            <w:pPr>
              <w:pStyle w:val="Texto"/>
              <w:spacing w:after="80" w:line="211" w:lineRule="exact"/>
              <w:ind w:firstLine="0"/>
              <w:jc w:val="center"/>
              <w:rPr>
                <w:b/>
              </w:rPr>
            </w:pPr>
            <w:r w:rsidRPr="00AB7CA1">
              <w:rPr>
                <w:b/>
              </w:rPr>
              <w:t>Primer antecedente</w:t>
            </w:r>
          </w:p>
        </w:tc>
      </w:tr>
      <w:tr w:rsidR="0098530D" w:rsidRPr="00AB7CA1" w14:paraId="5010185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E53EF88" w14:textId="77777777" w:rsidR="0098530D" w:rsidRPr="00AB7CA1" w:rsidRDefault="0098530D" w:rsidP="00552502">
            <w:pPr>
              <w:pStyle w:val="Texto"/>
              <w:spacing w:after="80" w:line="211" w:lineRule="exact"/>
              <w:ind w:firstLine="0"/>
            </w:pPr>
            <w:r w:rsidRPr="00AB7CA1">
              <w:t>52/2002/ISR</w:t>
            </w:r>
          </w:p>
        </w:tc>
        <w:tc>
          <w:tcPr>
            <w:tcW w:w="3237" w:type="pct"/>
            <w:tcBorders>
              <w:top w:val="single" w:sz="6" w:space="0" w:color="auto"/>
              <w:left w:val="single" w:sz="6" w:space="0" w:color="auto"/>
              <w:bottom w:val="single" w:sz="6" w:space="0" w:color="auto"/>
              <w:right w:val="single" w:sz="6" w:space="0" w:color="auto"/>
            </w:tcBorders>
          </w:tcPr>
          <w:p w14:paraId="251920E8" w14:textId="77777777" w:rsidR="0098530D" w:rsidRPr="00AB7CA1" w:rsidRDefault="0098530D" w:rsidP="00552502">
            <w:pPr>
              <w:pStyle w:val="Texto"/>
              <w:spacing w:after="80" w:line="211" w:lineRule="exact"/>
              <w:ind w:firstLine="0"/>
            </w:pPr>
            <w:r w:rsidRPr="00AB7CA1">
              <w:t>Oficio 325-SAT-IV-B-75015 de 16 de diciembre de 2002.</w:t>
            </w:r>
          </w:p>
        </w:tc>
      </w:tr>
    </w:tbl>
    <w:p w14:paraId="14833E1E" w14:textId="77777777" w:rsidR="0098530D" w:rsidRPr="00AB7CA1" w:rsidRDefault="0098530D" w:rsidP="0098530D">
      <w:pPr>
        <w:pStyle w:val="Texto"/>
        <w:spacing w:after="80" w:line="211" w:lineRule="exact"/>
        <w:ind w:left="2736" w:hanging="1152"/>
        <w:rPr>
          <w:b/>
        </w:rPr>
      </w:pPr>
    </w:p>
    <w:p w14:paraId="09F2BD53" w14:textId="77777777" w:rsidR="0098530D" w:rsidRPr="00AB7CA1" w:rsidRDefault="0098530D" w:rsidP="0098530D">
      <w:pPr>
        <w:pStyle w:val="Texto"/>
        <w:spacing w:after="80" w:line="211" w:lineRule="exact"/>
        <w:ind w:left="2736" w:hanging="1152"/>
        <w:rPr>
          <w:b/>
        </w:rPr>
      </w:pPr>
      <w:r w:rsidRPr="00AB7CA1">
        <w:rPr>
          <w:b/>
        </w:rPr>
        <w:t>31/ISR/N</w:t>
      </w:r>
      <w:r w:rsidRPr="00AB7CA1">
        <w:rPr>
          <w:b/>
        </w:rPr>
        <w:tab/>
        <w:t>Instituciones educativas autorizadas para recibir donativos deducibles. Las cuotas de inscripción y colegiaturas pagadas por sus alumnos se consideran cuotas de recuperación.</w:t>
      </w:r>
    </w:p>
    <w:p w14:paraId="4055C403" w14:textId="77777777" w:rsidR="0098530D" w:rsidRPr="00AB7CA1" w:rsidRDefault="0098530D" w:rsidP="0098530D">
      <w:pPr>
        <w:pStyle w:val="Texto"/>
        <w:spacing w:after="80" w:line="211" w:lineRule="exact"/>
        <w:ind w:left="2736" w:hanging="1152"/>
      </w:pPr>
      <w:r w:rsidRPr="00AB7CA1">
        <w:rPr>
          <w:b/>
        </w:rPr>
        <w:tab/>
      </w:r>
      <w:r w:rsidRPr="00AB7CA1">
        <w:t>El artículo 79, fracción X de la Ley del ISR, establece que no son contribuyentes del impuesto las sociedades o asociaciones de carácter civil que se dediquen a la enseñanza, con autorización o con reconocimiento de validez oficial de estudios en los términos de la Ley General de Educación, siempre que sean consideradas como instituciones autorizadas para recibir donativos deducibles en términos de la Ley del ISR.</w:t>
      </w:r>
    </w:p>
    <w:p w14:paraId="354D7D09" w14:textId="77777777" w:rsidR="0098530D" w:rsidRPr="00AB7CA1" w:rsidRDefault="0098530D" w:rsidP="0098530D">
      <w:pPr>
        <w:pStyle w:val="Texto"/>
        <w:spacing w:after="80" w:line="211" w:lineRule="exact"/>
        <w:ind w:left="2736" w:hanging="1152"/>
      </w:pPr>
      <w:r w:rsidRPr="00AB7CA1">
        <w:tab/>
        <w:t>El artículo 80, séptimo párrafo de la Ley del ISR, establece que las personas morales y fideicomisos autorizados para recibir donativos deducibles podrán obtener ingresos por actividades distintas a los fines por los que fueron autorizadas para recibir donativos deducibles, siempre que no excedan del 10% de sus ingresos totales en el ejercicio de que se trate y que en el caso de que sus ingresos no relacionados excedan del límite señalado, deberán determinar el impuesto que corresponda a dicho excedente. Para tal efecto, no se consideran ingresos por actividades distintas a los fines autorizados, los que perciban por concepto de cuotas de recuperación.</w:t>
      </w:r>
    </w:p>
    <w:p w14:paraId="78C282DB" w14:textId="77777777" w:rsidR="0098530D" w:rsidRPr="00AB7CA1" w:rsidRDefault="0098530D" w:rsidP="0098530D">
      <w:pPr>
        <w:pStyle w:val="Texto"/>
        <w:spacing w:after="80" w:line="211" w:lineRule="exact"/>
        <w:ind w:left="2736" w:hanging="1152"/>
      </w:pPr>
      <w:r w:rsidRPr="00AB7CA1">
        <w:tab/>
        <w:t>De una interpretación armónica de las disposiciones antes señaladas, lo previsto en el artículo 80, séptimo párrafo de la Ley del ISR, no será aplicable tratándose de la prestación de servicios de enseñanza que realicen las instituciones con autorización o reconocimiento de validez oficial de estudios en los términos de la Ley General de Educación y que cuenten con autorización para recibir donativos deducibles, conforme a la referida Ley del ISR, siempre que los ingresos percibidos correspondan a los pagos que por concepto de cuota de inscripción y colegiatura efectúen los alumnos que se encuentren inscritos en las instituciones educativas de que se trate, toda vez que, dichos ingresos se consideran cuotas de recuperación.</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5F9173A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922FB6D" w14:textId="77777777" w:rsidR="0098530D" w:rsidRPr="00AB7CA1" w:rsidRDefault="0098530D" w:rsidP="00552502">
            <w:pPr>
              <w:pStyle w:val="Texto"/>
              <w:spacing w:after="80" w:line="211"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E1465C8" w14:textId="77777777" w:rsidR="0098530D" w:rsidRPr="00AB7CA1" w:rsidRDefault="0098530D" w:rsidP="00552502">
            <w:pPr>
              <w:pStyle w:val="Texto"/>
              <w:spacing w:after="80" w:line="211" w:lineRule="exact"/>
              <w:ind w:firstLine="0"/>
              <w:jc w:val="center"/>
              <w:rPr>
                <w:b/>
              </w:rPr>
            </w:pPr>
            <w:r w:rsidRPr="00AB7CA1">
              <w:rPr>
                <w:b/>
              </w:rPr>
              <w:t>Primer antecedente</w:t>
            </w:r>
          </w:p>
        </w:tc>
      </w:tr>
      <w:tr w:rsidR="0098530D" w:rsidRPr="00AB7CA1" w14:paraId="0086EA4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A0FEC18" w14:textId="77777777" w:rsidR="0098530D" w:rsidRPr="00AB7CA1" w:rsidRDefault="0098530D" w:rsidP="00552502">
            <w:pPr>
              <w:pStyle w:val="Texto"/>
              <w:spacing w:after="80" w:line="211" w:lineRule="exact"/>
              <w:ind w:firstLine="0"/>
            </w:pPr>
            <w:r w:rsidRPr="00AB7CA1">
              <w:t>53/2002/ISR</w:t>
            </w:r>
          </w:p>
        </w:tc>
        <w:tc>
          <w:tcPr>
            <w:tcW w:w="3237" w:type="pct"/>
            <w:tcBorders>
              <w:top w:val="single" w:sz="6" w:space="0" w:color="auto"/>
              <w:left w:val="single" w:sz="6" w:space="0" w:color="auto"/>
              <w:bottom w:val="single" w:sz="6" w:space="0" w:color="auto"/>
              <w:right w:val="single" w:sz="6" w:space="0" w:color="auto"/>
            </w:tcBorders>
          </w:tcPr>
          <w:p w14:paraId="7FE147A8" w14:textId="77777777" w:rsidR="0098530D" w:rsidRPr="00AB7CA1" w:rsidRDefault="0098530D" w:rsidP="00552502">
            <w:pPr>
              <w:pStyle w:val="Texto"/>
              <w:spacing w:after="80" w:line="211" w:lineRule="exact"/>
              <w:ind w:firstLine="0"/>
            </w:pPr>
            <w:r w:rsidRPr="00AB7CA1">
              <w:t>Oficio 325-SAT-IV-B-75015 de 16 de diciembre de 2002.</w:t>
            </w:r>
          </w:p>
        </w:tc>
      </w:tr>
    </w:tbl>
    <w:p w14:paraId="52D73F99" w14:textId="77777777" w:rsidR="0098530D" w:rsidRPr="00AB7CA1" w:rsidRDefault="0098530D" w:rsidP="0098530D">
      <w:pPr>
        <w:pStyle w:val="Texto"/>
        <w:spacing w:after="80" w:line="211" w:lineRule="exact"/>
        <w:ind w:left="2736" w:hanging="1152"/>
        <w:rPr>
          <w:b/>
        </w:rPr>
      </w:pPr>
    </w:p>
    <w:p w14:paraId="26AFB032" w14:textId="77777777" w:rsidR="0098530D" w:rsidRPr="00AB7CA1" w:rsidRDefault="0098530D" w:rsidP="0098530D">
      <w:pPr>
        <w:pStyle w:val="Texto"/>
        <w:spacing w:after="80" w:line="211" w:lineRule="exact"/>
        <w:ind w:left="2736" w:hanging="1152"/>
        <w:rPr>
          <w:b/>
        </w:rPr>
      </w:pPr>
      <w:r w:rsidRPr="00AB7CA1">
        <w:rPr>
          <w:b/>
        </w:rPr>
        <w:t>32/ISR/N</w:t>
      </w:r>
      <w:r w:rsidRPr="00AB7CA1">
        <w:rPr>
          <w:b/>
        </w:rPr>
        <w:tab/>
        <w:t>Premios por asistencia y puntualidad. No son prestaciones de naturaleza análoga a la previsión social.</w:t>
      </w:r>
    </w:p>
    <w:p w14:paraId="3D07246A" w14:textId="77777777" w:rsidR="0098530D" w:rsidRPr="00AB7CA1" w:rsidRDefault="0098530D" w:rsidP="0098530D">
      <w:pPr>
        <w:pStyle w:val="Texto"/>
        <w:spacing w:after="80" w:line="211" w:lineRule="exact"/>
        <w:ind w:left="2736" w:hanging="1152"/>
      </w:pPr>
      <w:r w:rsidRPr="00AB7CA1">
        <w:rPr>
          <w:b/>
        </w:rPr>
        <w:tab/>
      </w:r>
      <w:r w:rsidRPr="00AB7CA1">
        <w:t>El artículo 93, fracción VIII de la Ley del ISR establece que no se pagará el impuesto por la obtención de ingresos percibidos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w:t>
      </w:r>
    </w:p>
    <w:p w14:paraId="560CBD77" w14:textId="77777777" w:rsidR="0098530D" w:rsidRPr="00AB7CA1" w:rsidRDefault="0098530D" w:rsidP="0098530D">
      <w:pPr>
        <w:pStyle w:val="Texto"/>
        <w:spacing w:line="220" w:lineRule="exact"/>
        <w:ind w:left="2736" w:hanging="1152"/>
      </w:pPr>
      <w:r w:rsidRPr="00AB7CA1">
        <w:tab/>
        <w:t>El artículo 7, penúltimo párrafo de dicha Ley dispone que se considera previsión social, las erogaciones efectuadas por los patrones a favor de sus trabajadores, que tengan por objeto satisfacer contingencias o necesidades presentes o futuras, así como el otorgar beneficios a favor de dichos trabajadores tendientes a su superación física, social, económica o cultural, que les permitan el mejoramiento de su calidad de vida y la de su familia.</w:t>
      </w:r>
    </w:p>
    <w:p w14:paraId="41CD5898" w14:textId="77777777" w:rsidR="0098530D" w:rsidRPr="00AB7CA1" w:rsidRDefault="0098530D" w:rsidP="0098530D">
      <w:pPr>
        <w:pStyle w:val="Texto"/>
        <w:spacing w:line="220" w:lineRule="exact"/>
        <w:ind w:left="2736" w:hanging="1152"/>
      </w:pPr>
      <w:r w:rsidRPr="00AB7CA1">
        <w:tab/>
        <w:t xml:space="preserve">En tal virtud, los premios otorgados a los trabajadores por concepto de puntualidad y asistencia al ser conferidos como un estímulo a aquellos trabajadores que se encuentren en dichos supuestos, no tienen una naturaleza análoga a los ingresos exentos establecidos en el artículo 93, </w:t>
      </w:r>
      <w:r w:rsidRPr="00AB7CA1">
        <w:lastRenderedPageBreak/>
        <w:t>fracción VIII de la Ley del ISR, porque su finalidad no es hacer frente a contingencias futuras ni son conferidos de manera general.</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1EA3560"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7DCC9B4D" w14:textId="77777777" w:rsidR="0098530D" w:rsidRPr="00AB7CA1" w:rsidRDefault="0098530D" w:rsidP="00552502">
            <w:pPr>
              <w:pStyle w:val="Texto"/>
              <w:spacing w:line="220"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D6EE23E" w14:textId="77777777" w:rsidR="0098530D" w:rsidRPr="00AB7CA1" w:rsidRDefault="0098530D" w:rsidP="00552502">
            <w:pPr>
              <w:pStyle w:val="Texto"/>
              <w:spacing w:line="220" w:lineRule="exact"/>
              <w:ind w:firstLine="0"/>
              <w:jc w:val="center"/>
              <w:rPr>
                <w:b/>
              </w:rPr>
            </w:pPr>
            <w:r w:rsidRPr="00AB7CA1">
              <w:rPr>
                <w:b/>
              </w:rPr>
              <w:t>Primer antecedente</w:t>
            </w:r>
          </w:p>
        </w:tc>
      </w:tr>
      <w:tr w:rsidR="0098530D" w:rsidRPr="00AB7CA1" w14:paraId="675A8315"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10E56F9" w14:textId="77777777" w:rsidR="0098530D" w:rsidRPr="00AB7CA1" w:rsidRDefault="0098530D" w:rsidP="00552502">
            <w:pPr>
              <w:pStyle w:val="Texto"/>
              <w:spacing w:line="220" w:lineRule="exact"/>
              <w:ind w:firstLine="0"/>
            </w:pPr>
            <w:r w:rsidRPr="00AB7CA1">
              <w:t>118/2001/ISR</w:t>
            </w:r>
          </w:p>
        </w:tc>
        <w:tc>
          <w:tcPr>
            <w:tcW w:w="3237" w:type="pct"/>
            <w:tcBorders>
              <w:top w:val="single" w:sz="6" w:space="0" w:color="auto"/>
              <w:left w:val="single" w:sz="6" w:space="0" w:color="auto"/>
              <w:bottom w:val="single" w:sz="6" w:space="0" w:color="auto"/>
              <w:right w:val="single" w:sz="6" w:space="0" w:color="auto"/>
            </w:tcBorders>
          </w:tcPr>
          <w:p w14:paraId="7E2B8A03" w14:textId="77777777" w:rsidR="0098530D" w:rsidRPr="00AB7CA1" w:rsidRDefault="0098530D" w:rsidP="00552502">
            <w:pPr>
              <w:pStyle w:val="Texto"/>
              <w:spacing w:line="220" w:lineRule="exact"/>
              <w:ind w:firstLine="0"/>
            </w:pPr>
            <w:r w:rsidRPr="00AB7CA1">
              <w:t>Oficio 325-SAT-A-31373 de 12 de diciembre de 2001. Compilación de Criterios Normativos. Se dan a conocer criterios.</w:t>
            </w:r>
          </w:p>
        </w:tc>
      </w:tr>
    </w:tbl>
    <w:p w14:paraId="1663AF59" w14:textId="77777777" w:rsidR="0098530D" w:rsidRPr="00AB7CA1" w:rsidRDefault="0098530D" w:rsidP="0098530D">
      <w:pPr>
        <w:pStyle w:val="Texto"/>
        <w:spacing w:line="220" w:lineRule="exact"/>
        <w:ind w:left="2736" w:hanging="1152"/>
        <w:rPr>
          <w:b/>
        </w:rPr>
      </w:pPr>
    </w:p>
    <w:p w14:paraId="094AA055" w14:textId="77777777" w:rsidR="0098530D" w:rsidRPr="00AB7CA1" w:rsidRDefault="0098530D" w:rsidP="0098530D">
      <w:pPr>
        <w:pStyle w:val="Texto"/>
        <w:spacing w:line="220" w:lineRule="exact"/>
        <w:ind w:left="2736" w:hanging="1152"/>
        <w:rPr>
          <w:b/>
          <w:lang w:val="es-ES_tradnl"/>
        </w:rPr>
      </w:pPr>
      <w:r w:rsidRPr="00AB7CA1">
        <w:rPr>
          <w:b/>
        </w:rPr>
        <w:t>33/ISR/N</w:t>
      </w:r>
      <w:r w:rsidRPr="00AB7CA1">
        <w:rPr>
          <w:b/>
        </w:rPr>
        <w:tab/>
      </w:r>
      <w:r w:rsidRPr="00AB7CA1">
        <w:rPr>
          <w:b/>
          <w:lang w:val="es-ES_tradnl"/>
        </w:rPr>
        <w:t>Previsión Social. Cumplimiento del requisito de generalidad.</w:t>
      </w:r>
    </w:p>
    <w:p w14:paraId="0EF59CCC" w14:textId="77777777" w:rsidR="0098530D" w:rsidRPr="00AB7CA1" w:rsidRDefault="0098530D" w:rsidP="0098530D">
      <w:pPr>
        <w:pStyle w:val="Texto"/>
        <w:spacing w:line="220" w:lineRule="exact"/>
        <w:ind w:left="2736" w:hanging="1152"/>
      </w:pPr>
      <w:r w:rsidRPr="00AB7CA1">
        <w:rPr>
          <w:b/>
          <w:lang w:val="es-ES_tradnl"/>
        </w:rPr>
        <w:tab/>
      </w:r>
      <w:r w:rsidRPr="00AB7CA1">
        <w:t>El artículo 93, fracción VIII de la Ley del ISR establece que no se pagará ISR por aquellos ingresos obtenidos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w:t>
      </w:r>
    </w:p>
    <w:p w14:paraId="7F8CEF42" w14:textId="77777777" w:rsidR="0098530D" w:rsidRPr="00AB7CA1" w:rsidRDefault="0098530D" w:rsidP="0098530D">
      <w:pPr>
        <w:pStyle w:val="Texto"/>
        <w:spacing w:line="220" w:lineRule="exact"/>
        <w:ind w:left="2736" w:hanging="1152"/>
      </w:pPr>
      <w:r w:rsidRPr="00AB7CA1">
        <w:tab/>
        <w:t>Se considera que el requisito de generalidad a que se refiere el artículo antes citado, se cumple cuando determinadas prestaciones de previsión social se concedan a la totalidad de los trabajadores que se coloquen en el supuesto que dio origen a dicho beneficio.</w:t>
      </w:r>
    </w:p>
    <w:p w14:paraId="5CC3BD2C" w14:textId="77777777" w:rsidR="0098530D" w:rsidRPr="00AB7CA1" w:rsidRDefault="0098530D" w:rsidP="0098530D">
      <w:pPr>
        <w:pStyle w:val="Texto"/>
        <w:spacing w:line="220" w:lineRule="exact"/>
        <w:ind w:left="2736" w:hanging="1152"/>
      </w:pPr>
      <w:r w:rsidRPr="00AB7CA1">
        <w:tab/>
        <w:t>En consecuencia, los contribuyentes no pagarán ISR por los ingresos obtenidos con motivo de prestaciones de previsión social, cuando las mismas se concedan a todos los trabajadores que tengan derecho a dicho beneficio, conforme a las leyes o por contratos de trabajo.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625399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C3D271C" w14:textId="77777777" w:rsidR="0098530D" w:rsidRPr="00AB7CA1" w:rsidRDefault="0098530D" w:rsidP="00552502">
            <w:pPr>
              <w:pStyle w:val="Texto"/>
              <w:spacing w:line="220"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1124D1E" w14:textId="77777777" w:rsidR="0098530D" w:rsidRPr="00AB7CA1" w:rsidRDefault="0098530D" w:rsidP="00552502">
            <w:pPr>
              <w:pStyle w:val="Texto"/>
              <w:spacing w:line="220" w:lineRule="exact"/>
              <w:ind w:firstLine="0"/>
              <w:jc w:val="center"/>
              <w:rPr>
                <w:b/>
              </w:rPr>
            </w:pPr>
            <w:r w:rsidRPr="00AB7CA1">
              <w:rPr>
                <w:b/>
              </w:rPr>
              <w:t>Primer antecedente</w:t>
            </w:r>
          </w:p>
        </w:tc>
      </w:tr>
      <w:tr w:rsidR="0098530D" w:rsidRPr="00AB7CA1" w14:paraId="518D9B1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D1FFAF9" w14:textId="77777777" w:rsidR="0098530D" w:rsidRPr="00AB7CA1" w:rsidRDefault="0098530D" w:rsidP="00552502">
            <w:pPr>
              <w:pStyle w:val="Texto"/>
              <w:spacing w:line="220" w:lineRule="exact"/>
              <w:ind w:firstLine="0"/>
            </w:pPr>
            <w:r w:rsidRPr="00AB7CA1">
              <w:t>2008</w:t>
            </w:r>
          </w:p>
        </w:tc>
        <w:tc>
          <w:tcPr>
            <w:tcW w:w="3237" w:type="pct"/>
            <w:tcBorders>
              <w:top w:val="single" w:sz="6" w:space="0" w:color="auto"/>
              <w:left w:val="single" w:sz="6" w:space="0" w:color="auto"/>
              <w:bottom w:val="single" w:sz="6" w:space="0" w:color="auto"/>
              <w:right w:val="single" w:sz="6" w:space="0" w:color="auto"/>
            </w:tcBorders>
          </w:tcPr>
          <w:p w14:paraId="4EEC1279" w14:textId="77777777" w:rsidR="0098530D" w:rsidRPr="00AB7CA1" w:rsidRDefault="0098530D" w:rsidP="00552502">
            <w:pPr>
              <w:pStyle w:val="Texto"/>
              <w:spacing w:line="220" w:lineRule="exact"/>
              <w:ind w:firstLine="0"/>
            </w:pPr>
            <w:r w:rsidRPr="00AB7CA1">
              <w:t>Oficio 600-04-02-2008-77251 de 12 de diciembre de 2008, mediante el cual se dan a conocer los criterios normativos aprobados a diciembre de 2008. Oficio 600-04-02-2009-73416 de 7 de enero de 2009, a través del cual se da a conocer el Boletín 2008, con número de criterio normativo 7/2008/ISR.</w:t>
            </w:r>
          </w:p>
        </w:tc>
      </w:tr>
    </w:tbl>
    <w:p w14:paraId="4083100E" w14:textId="77777777" w:rsidR="0098530D" w:rsidRPr="00AB7CA1" w:rsidRDefault="0098530D" w:rsidP="0098530D">
      <w:pPr>
        <w:pStyle w:val="Texto"/>
        <w:spacing w:line="220" w:lineRule="exact"/>
        <w:ind w:left="2736" w:hanging="1152"/>
        <w:rPr>
          <w:b/>
        </w:rPr>
      </w:pPr>
    </w:p>
    <w:p w14:paraId="7F0BAEFE" w14:textId="77777777" w:rsidR="0098530D" w:rsidRPr="00AB7CA1" w:rsidRDefault="0098530D" w:rsidP="0098530D">
      <w:pPr>
        <w:pStyle w:val="Texto"/>
        <w:spacing w:line="220" w:lineRule="exact"/>
        <w:ind w:left="2736" w:hanging="1152"/>
        <w:rPr>
          <w:b/>
          <w:lang w:val="es-ES_tradnl"/>
        </w:rPr>
      </w:pPr>
      <w:r w:rsidRPr="00AB7CA1">
        <w:rPr>
          <w:b/>
        </w:rPr>
        <w:t>34/ISR/N</w:t>
      </w:r>
      <w:r w:rsidRPr="00AB7CA1">
        <w:rPr>
          <w:b/>
        </w:rPr>
        <w:tab/>
      </w:r>
      <w:r w:rsidRPr="00AB7CA1">
        <w:rPr>
          <w:b/>
          <w:lang w:val="es-ES_tradnl"/>
        </w:rPr>
        <w:t>Ingresos por enajenación de bienes inmuebles destinados a casa habitación.</w:t>
      </w:r>
    </w:p>
    <w:p w14:paraId="7E45322B" w14:textId="77777777" w:rsidR="0098530D" w:rsidRPr="00AB7CA1" w:rsidRDefault="0098530D" w:rsidP="0098530D">
      <w:pPr>
        <w:pStyle w:val="Texto"/>
        <w:spacing w:line="220" w:lineRule="exact"/>
        <w:ind w:left="2736" w:hanging="1152"/>
      </w:pPr>
      <w:r w:rsidRPr="00AB7CA1">
        <w:rPr>
          <w:b/>
          <w:lang w:val="es-ES_tradnl"/>
        </w:rPr>
        <w:tab/>
      </w:r>
      <w:r w:rsidRPr="00AB7CA1">
        <w:t>El artículo 93, fracción XIX, inciso a) de la Ley del ISR establece que no se pagará ISR por la obtención, entre otros, de los ingresos derivados de la enajenación de casa habitación, siempre que el monto de la contraprestación obtenida no exceda de setecientas mil UDIS y la transmisión se formalice ante fedatario público.</w:t>
      </w:r>
    </w:p>
    <w:p w14:paraId="3FA28B0A" w14:textId="77777777" w:rsidR="0098530D" w:rsidRPr="00AB7CA1" w:rsidRDefault="0098530D" w:rsidP="0098530D">
      <w:pPr>
        <w:pStyle w:val="Texto"/>
        <w:spacing w:line="220" w:lineRule="exact"/>
        <w:ind w:left="2736" w:hanging="1152"/>
      </w:pPr>
      <w:r w:rsidRPr="00AB7CA1">
        <w:tab/>
        <w:t>La exención prevista en el artículo 93, fracción XIX, inciso a) de la Ley del ISR, se refiere al supuesto en que solo una parte de la superficie del inmueble sea destinada a casa habitación y la otra se utilice para un fin diverso o no se destinen exclusivamente para el uso habitacional, el ISR se pagará sólo por la parte que no corresponda a la superficie destinada a casa habitación.</w:t>
      </w:r>
    </w:p>
    <w:p w14:paraId="59BCDC5E" w14:textId="77777777" w:rsidR="0098530D" w:rsidRPr="00AB7CA1" w:rsidRDefault="0098530D" w:rsidP="0098530D">
      <w:pPr>
        <w:pStyle w:val="Texto"/>
        <w:spacing w:line="240" w:lineRule="exact"/>
        <w:ind w:left="2736" w:hanging="1152"/>
      </w:pPr>
      <w:r w:rsidRPr="00AB7CA1">
        <w:tab/>
        <w:t>El artículo 129 del Reglamento de la Ley del ISR dispone que, para los efectos de esta misma exención, la casa habitación comprende también al terreno donde se encuentre construida, siempre que la superficie de dicho terreno no exceda de tres veces el área cubierta por las construcciones que integran la casa habitación.</w:t>
      </w:r>
    </w:p>
    <w:p w14:paraId="3D5EE4E8" w14:textId="77777777" w:rsidR="0098530D" w:rsidRPr="00AB7CA1" w:rsidRDefault="0098530D" w:rsidP="0098530D">
      <w:pPr>
        <w:pStyle w:val="Texto"/>
        <w:spacing w:line="240" w:lineRule="exact"/>
        <w:ind w:left="2736" w:hanging="1152"/>
      </w:pPr>
      <w:r w:rsidRPr="00AB7CA1">
        <w:tab/>
        <w:t>Por lo anterior, para efectuar el cálculo de la superficie del terreno precisado en el párrafo anterior, no deberá tomarse en cuenta el área cubierta por las construcciones destinadas a un fin diverso al habitacional.</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5AE577A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7C805B30" w14:textId="77777777" w:rsidR="0098530D" w:rsidRPr="00AB7CA1" w:rsidRDefault="0098530D" w:rsidP="00552502">
            <w:pPr>
              <w:pStyle w:val="Texto"/>
              <w:spacing w:line="240" w:lineRule="exact"/>
              <w:ind w:firstLine="0"/>
              <w:jc w:val="center"/>
              <w:rPr>
                <w:b/>
              </w:rPr>
            </w:pPr>
            <w:r w:rsidRPr="00AB7CA1">
              <w:rPr>
                <w:b/>
              </w:rPr>
              <w:lastRenderedPageBreak/>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3374881" w14:textId="77777777" w:rsidR="0098530D" w:rsidRPr="00AB7CA1" w:rsidRDefault="0098530D" w:rsidP="00552502">
            <w:pPr>
              <w:pStyle w:val="Texto"/>
              <w:spacing w:line="240" w:lineRule="exact"/>
              <w:ind w:firstLine="0"/>
              <w:jc w:val="center"/>
              <w:rPr>
                <w:b/>
              </w:rPr>
            </w:pPr>
            <w:r w:rsidRPr="00AB7CA1">
              <w:rPr>
                <w:b/>
              </w:rPr>
              <w:t>Primer antecedente</w:t>
            </w:r>
          </w:p>
        </w:tc>
      </w:tr>
      <w:tr w:rsidR="0098530D" w:rsidRPr="00AB7CA1" w14:paraId="59EA6655"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02CD029" w14:textId="77777777" w:rsidR="0098530D" w:rsidRPr="00AB7CA1" w:rsidRDefault="0098530D" w:rsidP="00552502">
            <w:pPr>
              <w:pStyle w:val="Texto"/>
              <w:spacing w:line="240" w:lineRule="exact"/>
              <w:ind w:firstLine="0"/>
            </w:pPr>
            <w:r w:rsidRPr="00AB7CA1">
              <w:t>3.</w:t>
            </w:r>
          </w:p>
        </w:tc>
        <w:tc>
          <w:tcPr>
            <w:tcW w:w="3237" w:type="pct"/>
            <w:tcBorders>
              <w:top w:val="single" w:sz="6" w:space="0" w:color="auto"/>
              <w:left w:val="single" w:sz="6" w:space="0" w:color="auto"/>
              <w:bottom w:val="single" w:sz="6" w:space="0" w:color="auto"/>
              <w:right w:val="single" w:sz="6" w:space="0" w:color="auto"/>
            </w:tcBorders>
          </w:tcPr>
          <w:p w14:paraId="423A8418" w14:textId="77777777" w:rsidR="0098530D" w:rsidRPr="00AB7CA1" w:rsidRDefault="0098530D" w:rsidP="00552502">
            <w:pPr>
              <w:pStyle w:val="Texto"/>
              <w:spacing w:line="240" w:lineRule="exact"/>
              <w:ind w:firstLine="0"/>
            </w:pPr>
            <w:r w:rsidRPr="00AB7CA1">
              <w:t>Oficio 325-A-VII-10973 de 3 diciembre de 1996, a través del cual se hacen del conocimiento diversos criterios normativos.</w:t>
            </w:r>
          </w:p>
        </w:tc>
      </w:tr>
    </w:tbl>
    <w:p w14:paraId="1064AE03" w14:textId="77777777" w:rsidR="0098530D" w:rsidRPr="00AB7CA1" w:rsidRDefault="0098530D" w:rsidP="0098530D">
      <w:pPr>
        <w:pStyle w:val="Texto"/>
        <w:spacing w:line="240" w:lineRule="exact"/>
        <w:ind w:left="2736" w:hanging="1152"/>
        <w:rPr>
          <w:b/>
        </w:rPr>
      </w:pPr>
    </w:p>
    <w:p w14:paraId="0174687C" w14:textId="77777777" w:rsidR="0098530D" w:rsidRPr="00AB7CA1" w:rsidRDefault="0098530D" w:rsidP="0098530D">
      <w:pPr>
        <w:pStyle w:val="Texto"/>
        <w:spacing w:line="240" w:lineRule="exact"/>
        <w:ind w:left="2736" w:hanging="1152"/>
        <w:rPr>
          <w:b/>
          <w:lang w:val="es-ES_tradnl"/>
        </w:rPr>
      </w:pPr>
      <w:r w:rsidRPr="00AB7CA1">
        <w:rPr>
          <w:b/>
        </w:rPr>
        <w:t>35/ISR/N</w:t>
      </w:r>
      <w:r w:rsidRPr="00AB7CA1">
        <w:rPr>
          <w:b/>
        </w:rPr>
        <w:tab/>
      </w:r>
      <w:r w:rsidRPr="00AB7CA1">
        <w:rPr>
          <w:b/>
          <w:lang w:val="es-ES_tradnl"/>
        </w:rPr>
        <w:t>Propinas. Constituyen un ingreso para el trabajador.</w:t>
      </w:r>
    </w:p>
    <w:p w14:paraId="69D903C8" w14:textId="77777777" w:rsidR="0098530D" w:rsidRPr="00AB7CA1" w:rsidRDefault="0098530D" w:rsidP="0098530D">
      <w:pPr>
        <w:pStyle w:val="Texto"/>
        <w:spacing w:line="240" w:lineRule="exact"/>
        <w:ind w:left="2736" w:hanging="1152"/>
      </w:pPr>
      <w:r w:rsidRPr="00AB7CA1">
        <w:rPr>
          <w:b/>
          <w:lang w:val="es-ES_tradnl"/>
        </w:rPr>
        <w:tab/>
      </w:r>
      <w:r w:rsidRPr="00AB7CA1">
        <w:t>El artículo 94, primer párrafo de la Ley del ISR establece que se consideran ingresos por la prestación de un servicio personal subordinado, los salarios y demás prestaciones que deriven de una relación laboral, incluyendo la participación de los trabajadores en las utilidades de las empresas y las prestaciones percibidas como consecuencia de la terminación de la relación laboral.</w:t>
      </w:r>
    </w:p>
    <w:p w14:paraId="45730C57" w14:textId="77777777" w:rsidR="0098530D" w:rsidRPr="00AB7CA1" w:rsidRDefault="0098530D" w:rsidP="0098530D">
      <w:pPr>
        <w:pStyle w:val="Texto"/>
        <w:spacing w:line="240" w:lineRule="exact"/>
        <w:ind w:left="2736" w:hanging="1152"/>
      </w:pPr>
      <w:r w:rsidRPr="00AB7CA1">
        <w:tab/>
        <w:t>Conforme al artículo 96 de la Ley del ISR, respecto del impuesto que resulte a cargo del trabajador, la retención se calculará aplicando a la totalidad de los ingresos obtenidos en un mes de calendario la tarifa a que se refiere dicha disposición legal.</w:t>
      </w:r>
    </w:p>
    <w:p w14:paraId="69AD2E22" w14:textId="77777777" w:rsidR="0098530D" w:rsidRPr="00AB7CA1" w:rsidRDefault="0098530D" w:rsidP="0098530D">
      <w:pPr>
        <w:pStyle w:val="Texto"/>
        <w:spacing w:line="240" w:lineRule="exact"/>
        <w:ind w:left="2736" w:hanging="1152"/>
      </w:pPr>
      <w:r w:rsidRPr="00AB7CA1">
        <w:tab/>
        <w:t>El artículo 346 de la Ley Federal del Trabajo señala que las propinas percibidas por los trabajadores en hoteles, casas de asistencia, restaurantes, fondas, cafés, bares y otros establecimientos análogos, son parte del salario del trabajador.</w:t>
      </w:r>
    </w:p>
    <w:p w14:paraId="33CFC7F6" w14:textId="77777777" w:rsidR="0098530D" w:rsidRPr="00AB7CA1" w:rsidRDefault="0098530D" w:rsidP="0098530D">
      <w:pPr>
        <w:pStyle w:val="Texto"/>
        <w:spacing w:line="240" w:lineRule="exact"/>
        <w:ind w:left="2736" w:hanging="1152"/>
      </w:pPr>
      <w:r w:rsidRPr="00AB7CA1">
        <w:tab/>
        <w:t>Por lo anterior, las propinas antes referidas que les sean concedidas a los trabajadores, deben ser consideradas por el empleador para efectuar el cálculo y retención del ISR que, en su caso, resulte a cargo del trabajador, en los términos del artículo 96 de la Ley del ISR.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7769A287"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4536FAA3" w14:textId="77777777" w:rsidR="0098530D" w:rsidRPr="00AB7CA1" w:rsidRDefault="0098530D" w:rsidP="00552502">
            <w:pPr>
              <w:pStyle w:val="Texto"/>
              <w:spacing w:line="240"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93A29FC" w14:textId="77777777" w:rsidR="0098530D" w:rsidRPr="00AB7CA1" w:rsidRDefault="0098530D" w:rsidP="00552502">
            <w:pPr>
              <w:pStyle w:val="Texto"/>
              <w:spacing w:line="240" w:lineRule="exact"/>
              <w:ind w:firstLine="0"/>
              <w:jc w:val="center"/>
              <w:rPr>
                <w:b/>
              </w:rPr>
            </w:pPr>
            <w:r w:rsidRPr="00AB7CA1">
              <w:rPr>
                <w:b/>
              </w:rPr>
              <w:t>Primer antecedente</w:t>
            </w:r>
          </w:p>
        </w:tc>
      </w:tr>
      <w:tr w:rsidR="0098530D" w:rsidRPr="00AB7CA1" w14:paraId="3B98666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2A8D0A28" w14:textId="77777777" w:rsidR="0098530D" w:rsidRPr="00AB7CA1" w:rsidRDefault="0098530D" w:rsidP="00552502">
            <w:pPr>
              <w:pStyle w:val="Texto"/>
              <w:spacing w:line="240" w:lineRule="exact"/>
              <w:ind w:firstLine="0"/>
            </w:pPr>
            <w:r w:rsidRPr="00AB7CA1">
              <w:t>9/93</w:t>
            </w:r>
          </w:p>
        </w:tc>
        <w:tc>
          <w:tcPr>
            <w:tcW w:w="3237" w:type="pct"/>
            <w:tcBorders>
              <w:top w:val="single" w:sz="6" w:space="0" w:color="auto"/>
              <w:left w:val="single" w:sz="6" w:space="0" w:color="auto"/>
              <w:bottom w:val="single" w:sz="6" w:space="0" w:color="auto"/>
              <w:right w:val="single" w:sz="6" w:space="0" w:color="auto"/>
            </w:tcBorders>
          </w:tcPr>
          <w:p w14:paraId="7FCB76C5" w14:textId="77777777" w:rsidR="0098530D" w:rsidRPr="00AB7CA1" w:rsidRDefault="0098530D" w:rsidP="00552502">
            <w:pPr>
              <w:pStyle w:val="Texto"/>
              <w:spacing w:line="240" w:lineRule="exact"/>
              <w:ind w:firstLine="0"/>
            </w:pPr>
            <w:r w:rsidRPr="00AB7CA1">
              <w:t>Oficio 325-A-VII-5840 de 25 de junio de 1993.</w:t>
            </w:r>
          </w:p>
        </w:tc>
      </w:tr>
    </w:tbl>
    <w:p w14:paraId="609CE9DC" w14:textId="77777777" w:rsidR="0098530D" w:rsidRPr="00AB7CA1" w:rsidRDefault="0098530D" w:rsidP="0098530D">
      <w:pPr>
        <w:pStyle w:val="Texto"/>
        <w:spacing w:line="240" w:lineRule="exact"/>
        <w:ind w:left="2736" w:hanging="1152"/>
        <w:rPr>
          <w:b/>
        </w:rPr>
      </w:pPr>
    </w:p>
    <w:p w14:paraId="7EC48D76" w14:textId="77777777" w:rsidR="0098530D" w:rsidRPr="00AB7CA1" w:rsidRDefault="0098530D" w:rsidP="0098530D">
      <w:pPr>
        <w:pStyle w:val="Texto"/>
        <w:spacing w:line="240" w:lineRule="exact"/>
        <w:ind w:left="2736" w:hanging="1152"/>
        <w:rPr>
          <w:b/>
        </w:rPr>
      </w:pPr>
      <w:r w:rsidRPr="00AB7CA1">
        <w:rPr>
          <w:b/>
        </w:rPr>
        <w:t>36/ISR/N</w:t>
      </w:r>
      <w:r w:rsidRPr="00AB7CA1">
        <w:rPr>
          <w:b/>
        </w:rPr>
        <w:tab/>
        <w:t>Subsidio para el empleo. Es factible recuperar vía devolución el remanente no acreditado.</w:t>
      </w:r>
    </w:p>
    <w:p w14:paraId="5573E153" w14:textId="77777777" w:rsidR="0098530D" w:rsidRPr="00AB7CA1" w:rsidRDefault="0098530D" w:rsidP="0098530D">
      <w:pPr>
        <w:pStyle w:val="Texto"/>
        <w:spacing w:line="240" w:lineRule="exact"/>
        <w:ind w:left="2736" w:hanging="1152"/>
      </w:pPr>
      <w:r w:rsidRPr="00AB7CA1">
        <w:rPr>
          <w:b/>
        </w:rPr>
        <w:tab/>
      </w:r>
      <w:r w:rsidRPr="00AB7CA1">
        <w:t>El artículo Décimo, fracción III, primer párrafo del Decreto por el que se reforman, adicionan y derogan diversas disposiciones de la Ley del IVA; de la Ley del IEPS; de la LFD, se expide la Ley del ISR, y se abrogan la Ley del Impuesto Empresarial a Tasa Única, y la Ley del IDE, publicado en el DOF el 11 de diciembre de 2013, establece para quienes realicen los pagos a los contribuyentes que tengan derecho al subsidio para el empleo, la opción de acreditar contra el ISR a su cargo o del retenido a terceros, las cantidades que entreguen a los contribuyentes por dicho concepto, cuando cumplan con los requisitos que al efecto establezca dicho numeral.</w:t>
      </w:r>
    </w:p>
    <w:p w14:paraId="599817ED" w14:textId="77777777" w:rsidR="0098530D" w:rsidRPr="00AB7CA1" w:rsidRDefault="0098530D" w:rsidP="0098530D">
      <w:pPr>
        <w:pStyle w:val="Texto"/>
        <w:spacing w:line="240" w:lineRule="exact"/>
        <w:ind w:left="2736" w:hanging="1152"/>
      </w:pPr>
      <w:r w:rsidRPr="00AB7CA1">
        <w:tab/>
        <w:t>El artículo 22 del CFF señala que las autoridades fiscales devolverán las cantidades pagadas indebidamente y las que procedan conforme a las leyes fiscales.</w:t>
      </w:r>
    </w:p>
    <w:p w14:paraId="3ADAB2B8" w14:textId="77777777" w:rsidR="0098530D" w:rsidRPr="00AB7CA1" w:rsidRDefault="0098530D" w:rsidP="0098530D">
      <w:pPr>
        <w:pStyle w:val="Texto"/>
        <w:spacing w:line="222" w:lineRule="exact"/>
        <w:ind w:left="2736" w:hanging="1152"/>
      </w:pPr>
      <w:r w:rsidRPr="00AB7CA1">
        <w:tab/>
        <w:t xml:space="preserve">La Suprema Corte de Justicia de la Nación, a través de la tesis 2a. XXXVIII/2009 visible en el Semanario Judicial de la Federación y su Gaceta Tomo: XXIX, Abril de 2009, Página: 733, Novena Época, determinó que el mecanismo elegido por el legislador para recuperar las cantidades pagadas por el empleador, tiende a evitar que este las absorba afectando su patrimonio, con la condición de que el acreditamiento correspondiente se realice únicamente contra el ISR, de ahí que esa figura fiscal sólo se prevea </w:t>
      </w:r>
      <w:r w:rsidRPr="00AB7CA1">
        <w:lastRenderedPageBreak/>
        <w:t>respecto de las cantidades pagadas por concepto de subsidio para el empleo y, por ello, la diferencia que surja de su sustracción no queda regulada en dichas disposiciones legales sino en el artículo 22 del CFF, que establece la procedencia de la devolución de cantidades pagadas indebidamente o en demasía; por tanto, si en los plazos en que debe realizarse el entero del impuesto a cargo o del retenido de terceros, el patrón tiene saldo a favor derivado de agotar el esquema de acreditamiento del ISR, puede solicitarlo en términos del indicado artículo 22.</w:t>
      </w:r>
    </w:p>
    <w:p w14:paraId="73070B97" w14:textId="77777777" w:rsidR="0098530D" w:rsidRPr="00AB7CA1" w:rsidRDefault="0098530D" w:rsidP="0098530D">
      <w:pPr>
        <w:pStyle w:val="Texto"/>
        <w:spacing w:line="222" w:lineRule="exact"/>
        <w:ind w:left="2736" w:hanging="1152"/>
      </w:pPr>
      <w:r w:rsidRPr="00AB7CA1">
        <w:tab/>
        <w:t>Bajo ese contexto, en los casos en que exista remanente de subsidio para el empleo pagado a los trabajadores que resulte de agotar el esquema de acreditamiento del ISR a cargo o del retenido a terceros, será susceptible de devolución, conforme al artículo 22 del citado Código.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D2DC6D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70549C62" w14:textId="77777777" w:rsidR="0098530D" w:rsidRPr="00AB7CA1" w:rsidRDefault="0098530D" w:rsidP="00552502">
            <w:pPr>
              <w:pStyle w:val="Texto"/>
              <w:spacing w:line="222"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7900579B" w14:textId="77777777" w:rsidR="0098530D" w:rsidRPr="00AB7CA1" w:rsidRDefault="0098530D" w:rsidP="00552502">
            <w:pPr>
              <w:pStyle w:val="Texto"/>
              <w:spacing w:line="222" w:lineRule="exact"/>
              <w:ind w:firstLine="0"/>
              <w:jc w:val="center"/>
              <w:rPr>
                <w:b/>
              </w:rPr>
            </w:pPr>
            <w:r w:rsidRPr="00AB7CA1">
              <w:rPr>
                <w:b/>
              </w:rPr>
              <w:t>Primer antecedente</w:t>
            </w:r>
          </w:p>
        </w:tc>
      </w:tr>
      <w:tr w:rsidR="0098530D" w:rsidRPr="00AB7CA1" w14:paraId="3DB2C14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0316DB0" w14:textId="77777777" w:rsidR="0098530D" w:rsidRPr="00AB7CA1" w:rsidRDefault="0098530D" w:rsidP="00552502">
            <w:pPr>
              <w:pStyle w:val="Texto"/>
              <w:spacing w:line="222" w:lineRule="exact"/>
              <w:ind w:firstLine="0"/>
            </w:pPr>
            <w:r w:rsidRPr="00AB7CA1">
              <w:t>2009</w:t>
            </w:r>
          </w:p>
        </w:tc>
        <w:tc>
          <w:tcPr>
            <w:tcW w:w="3237" w:type="pct"/>
            <w:tcBorders>
              <w:top w:val="single" w:sz="6" w:space="0" w:color="auto"/>
              <w:left w:val="single" w:sz="6" w:space="0" w:color="auto"/>
              <w:bottom w:val="single" w:sz="6" w:space="0" w:color="auto"/>
              <w:right w:val="single" w:sz="6" w:space="0" w:color="auto"/>
            </w:tcBorders>
          </w:tcPr>
          <w:p w14:paraId="0349B509" w14:textId="77777777" w:rsidR="0098530D" w:rsidRPr="00AB7CA1" w:rsidRDefault="0098530D" w:rsidP="00552502">
            <w:pPr>
              <w:pStyle w:val="Texto"/>
              <w:spacing w:line="222" w:lineRule="exact"/>
              <w:ind w:firstLine="0"/>
            </w:pPr>
            <w:r w:rsidRPr="00AB7CA1">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73/2009/ISR.</w:t>
            </w:r>
          </w:p>
        </w:tc>
      </w:tr>
    </w:tbl>
    <w:p w14:paraId="0DAECDE8" w14:textId="77777777" w:rsidR="0098530D" w:rsidRPr="00AB7CA1" w:rsidRDefault="0098530D" w:rsidP="0098530D">
      <w:pPr>
        <w:pStyle w:val="Texto"/>
        <w:spacing w:line="222" w:lineRule="exact"/>
        <w:rPr>
          <w:b/>
        </w:rPr>
      </w:pPr>
    </w:p>
    <w:p w14:paraId="061DE526" w14:textId="77777777" w:rsidR="0098530D" w:rsidRPr="00AB7CA1" w:rsidRDefault="0098530D" w:rsidP="0098530D">
      <w:pPr>
        <w:pStyle w:val="Texto"/>
        <w:spacing w:line="222" w:lineRule="exact"/>
        <w:ind w:left="2736" w:hanging="1152"/>
        <w:rPr>
          <w:b/>
        </w:rPr>
      </w:pPr>
      <w:r w:rsidRPr="00AB7CA1">
        <w:rPr>
          <w:b/>
        </w:rPr>
        <w:t>37/ISR/N</w:t>
      </w:r>
      <w:r w:rsidRPr="00AB7CA1">
        <w:rPr>
          <w:b/>
        </w:rPr>
        <w:tab/>
        <w:t>Acciones emitidas por sociedades extranjeras cotizadas en bolsas de valores concesionadas. Su enajenación está sujeta a la tasa del 10%.</w:t>
      </w:r>
    </w:p>
    <w:p w14:paraId="43EC8832" w14:textId="77777777" w:rsidR="0098530D" w:rsidRPr="00AB7CA1" w:rsidRDefault="0098530D" w:rsidP="0098530D">
      <w:pPr>
        <w:pStyle w:val="Texto"/>
        <w:spacing w:line="222" w:lineRule="exact"/>
        <w:ind w:left="2736" w:hanging="1152"/>
      </w:pPr>
      <w:r w:rsidRPr="00AB7CA1">
        <w:rPr>
          <w:b/>
        </w:rPr>
        <w:tab/>
      </w:r>
      <w:r w:rsidRPr="00AB7CA1">
        <w:t>El artículo 129, fracción I de la Ley del ISR dispone que las personas físicas estarán obligadas a pagar el ISR, cuyo pago se considerará como definitivo, aplicando la tasa del 10% a las ganancias obtenidas en el ejercicio derivadas de la enajenación de acciones emitidas por sociedades extranjeras cotizadas en las bolsas de valores concesionadas o mercados de derivados reconocidos en los términos de la LMV.</w:t>
      </w:r>
    </w:p>
    <w:p w14:paraId="6431B224" w14:textId="77777777" w:rsidR="0098530D" w:rsidRPr="00AB7CA1" w:rsidRDefault="0098530D" w:rsidP="0098530D">
      <w:pPr>
        <w:pStyle w:val="Texto"/>
        <w:spacing w:line="222" w:lineRule="exact"/>
        <w:ind w:left="2736" w:hanging="1152"/>
      </w:pPr>
      <w:r w:rsidRPr="00AB7CA1">
        <w:tab/>
        <w:t>El artículo 9, tercer párrafo de la LMV, de aplicación supletoria a las disposiciones fiscales de conformidad con el artículo 5o., segundo párrafo del CFF, indica que las actividades de intermediación con valores que se operen en el extranjero o emitidos conforme a leyes extranjeras, susceptibles de ser listados en el Sistema Internacional de Cotizaciones de una bolsa de valores, únicamente podrán proporcionarse a través de dicho sistema.</w:t>
      </w:r>
    </w:p>
    <w:p w14:paraId="618BEFF5" w14:textId="77777777" w:rsidR="0098530D" w:rsidRPr="00AB7CA1" w:rsidRDefault="0098530D" w:rsidP="0098530D">
      <w:pPr>
        <w:pStyle w:val="Texto"/>
        <w:spacing w:line="222" w:lineRule="exact"/>
        <w:ind w:left="2736" w:hanging="1152"/>
      </w:pPr>
      <w:r w:rsidRPr="00AB7CA1">
        <w:tab/>
        <w:t>De conformidad con su reglamento, la Bolsa Mexicana de Valores y la Bolsa Institucional de Valores, respectivamente, cuentan con un listado que se encuentra integrado por el apartado de valores autorizados para cotizar en el Sistema Internacional de Cotizaciones.</w:t>
      </w:r>
    </w:p>
    <w:p w14:paraId="508184E3" w14:textId="77777777" w:rsidR="0098530D" w:rsidRPr="00AB7CA1" w:rsidRDefault="0098530D" w:rsidP="0098530D">
      <w:pPr>
        <w:pStyle w:val="Texto"/>
        <w:spacing w:line="222" w:lineRule="exact"/>
        <w:ind w:left="2736" w:hanging="1152"/>
      </w:pPr>
      <w:r w:rsidRPr="00AB7CA1">
        <w:tab/>
        <w:t>En ese sentido, las ganancias obtenidas en el ejercicio derivadas de la enajenación de acciones emitidas por sociedades extranjeras listadas en el apartado de valores autorizados para cotizar en el Sistema Internacional de Cotizaciones de la Bolsa Mexicana de Valores o de la Bolsa Institucional de Valores, respectivamente, están sujetas a una tasa del 10% en los términos del artículo 129, fracción I de la Ley del ISR, con independencia de que su enajenación no se realice a través de un intermediario del mercado de valores mexicano.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833183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13D3CE1C" w14:textId="77777777" w:rsidR="0098530D" w:rsidRPr="00AB7CA1" w:rsidRDefault="0098530D" w:rsidP="00552502">
            <w:pPr>
              <w:pStyle w:val="Texto"/>
              <w:spacing w:line="226"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F96D340" w14:textId="77777777" w:rsidR="0098530D" w:rsidRPr="00AB7CA1" w:rsidRDefault="0098530D" w:rsidP="00552502">
            <w:pPr>
              <w:pStyle w:val="Texto"/>
              <w:spacing w:line="226" w:lineRule="exact"/>
              <w:ind w:firstLine="0"/>
              <w:jc w:val="center"/>
              <w:rPr>
                <w:b/>
              </w:rPr>
            </w:pPr>
            <w:r w:rsidRPr="00AB7CA1">
              <w:rPr>
                <w:b/>
              </w:rPr>
              <w:t>Primer antecedente</w:t>
            </w:r>
          </w:p>
        </w:tc>
      </w:tr>
      <w:tr w:rsidR="0098530D" w:rsidRPr="00AB7CA1" w14:paraId="2F8C4C88"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B35BBC4" w14:textId="77777777" w:rsidR="0098530D" w:rsidRPr="00AB7CA1" w:rsidRDefault="0098530D" w:rsidP="00552502">
            <w:pPr>
              <w:pStyle w:val="Texto"/>
              <w:spacing w:line="226" w:lineRule="exact"/>
              <w:ind w:firstLine="0"/>
            </w:pPr>
            <w:r w:rsidRPr="00AB7CA1">
              <w:lastRenderedPageBreak/>
              <w:t>2014</w:t>
            </w:r>
          </w:p>
        </w:tc>
        <w:tc>
          <w:tcPr>
            <w:tcW w:w="3237" w:type="pct"/>
            <w:tcBorders>
              <w:top w:val="single" w:sz="6" w:space="0" w:color="auto"/>
              <w:left w:val="single" w:sz="6" w:space="0" w:color="auto"/>
              <w:bottom w:val="single" w:sz="6" w:space="0" w:color="auto"/>
              <w:right w:val="single" w:sz="6" w:space="0" w:color="auto"/>
            </w:tcBorders>
          </w:tcPr>
          <w:p w14:paraId="577145B6" w14:textId="77777777" w:rsidR="0098530D" w:rsidRPr="00AB7CA1" w:rsidRDefault="0098530D" w:rsidP="00552502">
            <w:pPr>
              <w:pStyle w:val="Texto"/>
              <w:spacing w:line="226" w:lineRule="exact"/>
              <w:ind w:firstLine="0"/>
            </w:pPr>
            <w:r w:rsidRPr="00AB7CA1">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46/2014/ISR.</w:t>
            </w:r>
          </w:p>
        </w:tc>
      </w:tr>
    </w:tbl>
    <w:p w14:paraId="3460C916" w14:textId="77777777" w:rsidR="0098530D" w:rsidRPr="00AB7CA1" w:rsidRDefault="0098530D" w:rsidP="0098530D">
      <w:pPr>
        <w:pStyle w:val="Texto"/>
        <w:spacing w:line="226" w:lineRule="exact"/>
        <w:ind w:left="2736" w:hanging="1152"/>
        <w:rPr>
          <w:b/>
        </w:rPr>
      </w:pPr>
    </w:p>
    <w:p w14:paraId="000F1601" w14:textId="77777777" w:rsidR="0098530D" w:rsidRPr="00AB7CA1" w:rsidRDefault="0098530D" w:rsidP="0098530D">
      <w:pPr>
        <w:pStyle w:val="Texto"/>
        <w:spacing w:line="226" w:lineRule="exact"/>
        <w:ind w:left="2736" w:hanging="1152"/>
        <w:rPr>
          <w:b/>
        </w:rPr>
      </w:pPr>
      <w:r w:rsidRPr="00AB7CA1">
        <w:rPr>
          <w:b/>
        </w:rPr>
        <w:t>38/ISR/N</w:t>
      </w:r>
      <w:r w:rsidRPr="00AB7CA1">
        <w:rPr>
          <w:b/>
        </w:rPr>
        <w:tab/>
        <w:t>Dividendos o utilidades distribuidos. Acumulación a los demás ingresos por parte de las personas físicas.</w:t>
      </w:r>
    </w:p>
    <w:p w14:paraId="5DCBE300" w14:textId="77777777" w:rsidR="0098530D" w:rsidRPr="00AB7CA1" w:rsidRDefault="0098530D" w:rsidP="0098530D">
      <w:pPr>
        <w:pStyle w:val="Texto"/>
        <w:spacing w:line="226" w:lineRule="exact"/>
        <w:ind w:left="2736" w:hanging="1152"/>
      </w:pPr>
      <w:r w:rsidRPr="00AB7CA1">
        <w:rPr>
          <w:b/>
        </w:rPr>
        <w:tab/>
      </w:r>
      <w:r w:rsidRPr="00AB7CA1">
        <w:t>El artículo 140, primer párrafo de la Ley del ISR establece que las personas físicas deberán acumular a sus demás ingresos, los percibidos por dividendos o utilidades.</w:t>
      </w:r>
    </w:p>
    <w:p w14:paraId="71D07182" w14:textId="77777777" w:rsidR="0098530D" w:rsidRPr="00AB7CA1" w:rsidRDefault="0098530D" w:rsidP="0098530D">
      <w:pPr>
        <w:pStyle w:val="Texto"/>
        <w:spacing w:line="226" w:lineRule="exact"/>
        <w:ind w:left="2736" w:hanging="1152"/>
      </w:pPr>
      <w:r w:rsidRPr="00AB7CA1">
        <w:tab/>
        <w:t>El mismo artículo, en su quinto párrafo, dispone que para los efectos de dicho numeral también se consideran dividendos o utilidades distribuidos, la utilidad fiscal determinada, incluso presuntivamente, por las autoridades fiscales, conforme lo establece el artículo 140, fracción V de la Ley del ISR.</w:t>
      </w:r>
    </w:p>
    <w:p w14:paraId="649F6F07" w14:textId="77777777" w:rsidR="0098530D" w:rsidRPr="00AB7CA1" w:rsidRDefault="0098530D" w:rsidP="0098530D">
      <w:pPr>
        <w:pStyle w:val="Texto"/>
        <w:spacing w:line="226" w:lineRule="exact"/>
        <w:ind w:left="2736" w:hanging="1152"/>
      </w:pPr>
      <w:r w:rsidRPr="00AB7CA1">
        <w:tab/>
        <w:t>En este sentido, se considera que las personas físicas están obligadas a acumular a sus demás ingresos, como dividendos o utilidades distribuidos, todos los supuestos previstos en las distintas fracciones del artículo 140 de la Ley del ISR, incluidos los previstos en la referida fracción V.</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C7CA10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3734179" w14:textId="77777777" w:rsidR="0098530D" w:rsidRPr="00AB7CA1" w:rsidRDefault="0098530D" w:rsidP="00552502">
            <w:pPr>
              <w:pStyle w:val="Texto"/>
              <w:spacing w:line="226"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07A3A84F" w14:textId="77777777" w:rsidR="0098530D" w:rsidRPr="00AB7CA1" w:rsidRDefault="0098530D" w:rsidP="00552502">
            <w:pPr>
              <w:pStyle w:val="Texto"/>
              <w:spacing w:line="226" w:lineRule="exact"/>
              <w:ind w:firstLine="0"/>
              <w:jc w:val="center"/>
              <w:rPr>
                <w:b/>
              </w:rPr>
            </w:pPr>
            <w:r w:rsidRPr="00AB7CA1">
              <w:rPr>
                <w:b/>
              </w:rPr>
              <w:t>Primer antecedente</w:t>
            </w:r>
          </w:p>
        </w:tc>
      </w:tr>
      <w:tr w:rsidR="0098530D" w:rsidRPr="00AB7CA1" w14:paraId="2AEC46A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439C06A" w14:textId="77777777" w:rsidR="0098530D" w:rsidRPr="00AB7CA1" w:rsidRDefault="0098530D" w:rsidP="00552502">
            <w:pPr>
              <w:pStyle w:val="Texto"/>
              <w:spacing w:line="226" w:lineRule="exact"/>
              <w:ind w:firstLine="0"/>
            </w:pPr>
            <w:r w:rsidRPr="00AB7CA1">
              <w:t>2010</w:t>
            </w:r>
          </w:p>
        </w:tc>
        <w:tc>
          <w:tcPr>
            <w:tcW w:w="3237" w:type="pct"/>
            <w:tcBorders>
              <w:top w:val="single" w:sz="6" w:space="0" w:color="auto"/>
              <w:left w:val="single" w:sz="6" w:space="0" w:color="auto"/>
              <w:bottom w:val="single" w:sz="6" w:space="0" w:color="auto"/>
              <w:right w:val="single" w:sz="6" w:space="0" w:color="auto"/>
            </w:tcBorders>
          </w:tcPr>
          <w:p w14:paraId="7697718E" w14:textId="77777777" w:rsidR="0098530D" w:rsidRPr="00AB7CA1" w:rsidRDefault="0098530D" w:rsidP="00552502">
            <w:pPr>
              <w:pStyle w:val="Texto"/>
              <w:spacing w:line="226" w:lineRule="exact"/>
              <w:ind w:firstLine="0"/>
            </w:pPr>
            <w:r w:rsidRPr="00AB7CA1">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72/2010/ISR.</w:t>
            </w:r>
          </w:p>
        </w:tc>
      </w:tr>
    </w:tbl>
    <w:p w14:paraId="455E53A6" w14:textId="77777777" w:rsidR="0098530D" w:rsidRPr="00AB7CA1" w:rsidRDefault="0098530D" w:rsidP="0098530D">
      <w:pPr>
        <w:pStyle w:val="Texto"/>
        <w:spacing w:line="226" w:lineRule="exact"/>
        <w:rPr>
          <w:b/>
        </w:rPr>
      </w:pPr>
    </w:p>
    <w:p w14:paraId="4EBBD3E1" w14:textId="77777777" w:rsidR="0098530D" w:rsidRPr="00AB7CA1" w:rsidRDefault="0098530D" w:rsidP="0098530D">
      <w:pPr>
        <w:pStyle w:val="Texto"/>
        <w:spacing w:line="226" w:lineRule="exact"/>
        <w:ind w:left="2736" w:hanging="1152"/>
        <w:rPr>
          <w:b/>
        </w:rPr>
      </w:pPr>
      <w:r w:rsidRPr="00AB7CA1">
        <w:rPr>
          <w:b/>
        </w:rPr>
        <w:t>39/ISR/N</w:t>
      </w:r>
      <w:r w:rsidRPr="00AB7CA1">
        <w:rPr>
          <w:b/>
        </w:rPr>
        <w:tab/>
        <w:t>Dividendos o utilidades distribuidos pagados por una sociedad. Acumulación de los demás ingresos de las personas físicas.</w:t>
      </w:r>
    </w:p>
    <w:p w14:paraId="16BC5102" w14:textId="77777777" w:rsidR="0098530D" w:rsidRPr="00AB7CA1" w:rsidRDefault="0098530D" w:rsidP="0098530D">
      <w:pPr>
        <w:pStyle w:val="Texto"/>
        <w:spacing w:line="226" w:lineRule="exact"/>
        <w:ind w:left="2736" w:hanging="1152"/>
      </w:pPr>
      <w:r w:rsidRPr="00AB7CA1">
        <w:rPr>
          <w:b/>
        </w:rPr>
        <w:tab/>
      </w:r>
      <w:r w:rsidRPr="00AB7CA1">
        <w:t>El artículo 140, primer y cuarto párrafos de la Ley del ISR, establecen que las personas físicas deberán acumular a sus demás ingresos, los percibidos por dividendos o utilidades distribuidos y que dicho ingreso lo percibe el propietario del título valor o en caso de partes sociales, la persona que aparezca como titular de las mismas.</w:t>
      </w:r>
    </w:p>
    <w:p w14:paraId="517C6D47" w14:textId="77777777" w:rsidR="0098530D" w:rsidRPr="00AB7CA1" w:rsidRDefault="0098530D" w:rsidP="0098530D">
      <w:pPr>
        <w:pStyle w:val="Texto"/>
        <w:spacing w:line="226" w:lineRule="exact"/>
        <w:ind w:left="2736" w:hanging="1152"/>
      </w:pPr>
      <w:r w:rsidRPr="00AB7CA1">
        <w:tab/>
        <w:t>El mismo artículo 140, en su párrafo quinto, fracciones IV, V y VI de la Ley del ISR determina que se consideran dividendos o utilidades distribuidos, entre otras,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14:paraId="2D79156F" w14:textId="77777777" w:rsidR="0098530D" w:rsidRPr="00AB7CA1" w:rsidRDefault="0098530D" w:rsidP="0098530D">
      <w:pPr>
        <w:pStyle w:val="Texto"/>
        <w:spacing w:line="226" w:lineRule="exact"/>
        <w:ind w:left="2736" w:hanging="1152"/>
      </w:pPr>
      <w:r w:rsidRPr="00AB7CA1">
        <w:tab/>
        <w:t xml:space="preserve">En consecuencia, en los casos en que una persona moral se ubique en alguno de los supuestos previstos en las fracciones IV, V ó VI del artículo citado en el párrafo anterior, se deberá considerar ingreso para cada una de las personas físicas propietarias del título valor o que aparezcan como titulares de las partes sociales de la persona moral a la que se le </w:t>
      </w:r>
      <w:r w:rsidRPr="00AB7CA1">
        <w:lastRenderedPageBreak/>
        <w:t>determinaron dividendos o utilidades distribuidos, en la misma proporción en que son propietarios de dichos títulos o partes sociales.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5DFA3985"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19381898" w14:textId="77777777" w:rsidR="0098530D" w:rsidRPr="00AB7CA1" w:rsidRDefault="0098530D" w:rsidP="00552502">
            <w:pPr>
              <w:pStyle w:val="Texto"/>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18144DD2" w14:textId="77777777" w:rsidR="0098530D" w:rsidRPr="00AB7CA1" w:rsidRDefault="0098530D" w:rsidP="00552502">
            <w:pPr>
              <w:pStyle w:val="Texto"/>
              <w:ind w:firstLine="0"/>
              <w:jc w:val="center"/>
              <w:rPr>
                <w:b/>
              </w:rPr>
            </w:pPr>
            <w:r w:rsidRPr="00AB7CA1">
              <w:rPr>
                <w:b/>
              </w:rPr>
              <w:t>Primer antecedente</w:t>
            </w:r>
          </w:p>
        </w:tc>
      </w:tr>
      <w:tr w:rsidR="0098530D" w:rsidRPr="00AB7CA1" w14:paraId="27E7DB9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37D810D" w14:textId="77777777" w:rsidR="0098530D" w:rsidRPr="00AB7CA1" w:rsidRDefault="0098530D" w:rsidP="00552502">
            <w:pPr>
              <w:pStyle w:val="Texto"/>
              <w:ind w:firstLine="0"/>
            </w:pPr>
            <w:r w:rsidRPr="00AB7CA1">
              <w:t>2011</w:t>
            </w:r>
          </w:p>
        </w:tc>
        <w:tc>
          <w:tcPr>
            <w:tcW w:w="3237" w:type="pct"/>
            <w:tcBorders>
              <w:top w:val="single" w:sz="6" w:space="0" w:color="auto"/>
              <w:left w:val="single" w:sz="6" w:space="0" w:color="auto"/>
              <w:bottom w:val="single" w:sz="6" w:space="0" w:color="auto"/>
              <w:right w:val="single" w:sz="6" w:space="0" w:color="auto"/>
            </w:tcBorders>
          </w:tcPr>
          <w:p w14:paraId="60CCB27A" w14:textId="77777777" w:rsidR="0098530D" w:rsidRPr="00AB7CA1" w:rsidRDefault="0098530D" w:rsidP="00552502">
            <w:pPr>
              <w:pStyle w:val="Texto"/>
              <w:ind w:firstLine="0"/>
            </w:pPr>
            <w:r w:rsidRPr="00AB7CA1">
              <w:t>Oficio 600-04-02-2011-57051 de 25 de julio de 2011 mediante el cual se dan a conocer los criterios normativos aprobados al primer trimestre 2011. Oficio 600-04-02-2011-58911 de 9 de diciembre de 2011 a través del cual se da a conocer el Boletín 2011, con el número de criterio normativo 69/2011/ISR.</w:t>
            </w:r>
          </w:p>
        </w:tc>
      </w:tr>
    </w:tbl>
    <w:p w14:paraId="04E037EE" w14:textId="77777777" w:rsidR="0098530D" w:rsidRPr="00AB7CA1" w:rsidRDefault="0098530D" w:rsidP="0098530D">
      <w:pPr>
        <w:pStyle w:val="Texto"/>
        <w:ind w:left="2736" w:hanging="1152"/>
        <w:rPr>
          <w:b/>
        </w:rPr>
      </w:pPr>
    </w:p>
    <w:p w14:paraId="28CE538B" w14:textId="77777777" w:rsidR="0098530D" w:rsidRPr="00AB7CA1" w:rsidRDefault="0098530D" w:rsidP="0098530D">
      <w:pPr>
        <w:pStyle w:val="Texto"/>
        <w:ind w:left="2736" w:hanging="1152"/>
      </w:pPr>
      <w:r w:rsidRPr="00AB7CA1">
        <w:rPr>
          <w:b/>
        </w:rPr>
        <w:t>40/ISR/N</w:t>
      </w:r>
      <w:r w:rsidRPr="00AB7CA1">
        <w:rPr>
          <w:b/>
        </w:rPr>
        <w:tab/>
        <w:t>Dividendos o utilidades distribuidos. Momento de acumulación de los ingresos de las personas físicas</w:t>
      </w:r>
      <w:r w:rsidRPr="00AB7CA1">
        <w:t>.</w:t>
      </w:r>
    </w:p>
    <w:p w14:paraId="0E67CA2D" w14:textId="77777777" w:rsidR="0098530D" w:rsidRPr="00AB7CA1" w:rsidRDefault="0098530D" w:rsidP="0098530D">
      <w:pPr>
        <w:pStyle w:val="Texto"/>
        <w:ind w:left="2736" w:hanging="1152"/>
      </w:pPr>
      <w:r w:rsidRPr="00AB7CA1">
        <w:tab/>
        <w:t>El artículo 140, primer y cuarto párrafos de la Ley del ISR, establecen que las personas físicas deberán acumular a sus demás ingresos, los percibidos por dividendos o utilidades distribuidos y que dicho ingreso lo percibe el propietario del título valor o titular de las partes sociales.</w:t>
      </w:r>
    </w:p>
    <w:p w14:paraId="3EC3C92F" w14:textId="77777777" w:rsidR="0098530D" w:rsidRPr="00AB7CA1" w:rsidRDefault="0098530D" w:rsidP="0098530D">
      <w:pPr>
        <w:pStyle w:val="Texto"/>
        <w:ind w:left="2736" w:hanging="1152"/>
      </w:pPr>
      <w:r w:rsidRPr="00AB7CA1">
        <w:tab/>
        <w:t>El artículo 140, en su párrafo quinto, fracciones IV, V y VI de la citada Ley, considera como dividendos o utilidades distribuidos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14:paraId="7809E9AF" w14:textId="77777777" w:rsidR="0098530D" w:rsidRPr="00AB7CA1" w:rsidRDefault="0098530D" w:rsidP="0098530D">
      <w:pPr>
        <w:pStyle w:val="Texto"/>
        <w:ind w:left="2736" w:hanging="1152"/>
      </w:pPr>
      <w:r w:rsidRPr="00AB7CA1">
        <w:tab/>
        <w:t>El artículo 6o., primer párrafo del CFF dispone que las contribuciones se causan conforme se realizan las situaciones jurídicas o de hecho, previstas en las leyes fiscales vigentes durante el lapso en que ocurran.</w:t>
      </w:r>
    </w:p>
    <w:p w14:paraId="2F56E812" w14:textId="77777777" w:rsidR="0098530D" w:rsidRPr="00AB7CA1" w:rsidRDefault="0098530D" w:rsidP="0098530D">
      <w:pPr>
        <w:pStyle w:val="Texto"/>
        <w:ind w:left="2736" w:hanging="1152"/>
      </w:pPr>
      <w:r w:rsidRPr="00AB7CA1">
        <w:tab/>
        <w:t>En consecuencia, tratándose de ingresos de las personas físicas por dividendos o utilidades distribuidos, se considera que los mismos son acumulables al momento en que se genera cualquiera o cada uno en su caso, de los supuestos jurídicos previstos en el artículo 140, quinto párrafo, fracciones IV, V o VI, respectivamente, de la Ley del ISR.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A2D5086"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3411BA01" w14:textId="77777777" w:rsidR="0098530D" w:rsidRPr="00AB7CA1" w:rsidRDefault="0098530D" w:rsidP="00552502">
            <w:pPr>
              <w:pStyle w:val="Texto"/>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7198C6F" w14:textId="77777777" w:rsidR="0098530D" w:rsidRPr="00AB7CA1" w:rsidRDefault="0098530D" w:rsidP="00552502">
            <w:pPr>
              <w:pStyle w:val="Texto"/>
              <w:ind w:firstLine="0"/>
              <w:jc w:val="center"/>
              <w:rPr>
                <w:b/>
              </w:rPr>
            </w:pPr>
            <w:r w:rsidRPr="00AB7CA1">
              <w:rPr>
                <w:b/>
              </w:rPr>
              <w:t>Primer antecedente</w:t>
            </w:r>
          </w:p>
        </w:tc>
      </w:tr>
      <w:tr w:rsidR="0098530D" w:rsidRPr="00AB7CA1" w14:paraId="1826CFB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5776E21F" w14:textId="77777777" w:rsidR="0098530D" w:rsidRPr="00AB7CA1" w:rsidRDefault="0098530D" w:rsidP="00552502">
            <w:pPr>
              <w:pStyle w:val="Texto"/>
              <w:ind w:firstLine="0"/>
            </w:pPr>
            <w:r w:rsidRPr="00AB7CA1">
              <w:t>2011</w:t>
            </w:r>
          </w:p>
        </w:tc>
        <w:tc>
          <w:tcPr>
            <w:tcW w:w="3237" w:type="pct"/>
            <w:tcBorders>
              <w:top w:val="single" w:sz="6" w:space="0" w:color="auto"/>
              <w:left w:val="single" w:sz="6" w:space="0" w:color="auto"/>
              <w:bottom w:val="single" w:sz="6" w:space="0" w:color="auto"/>
              <w:right w:val="single" w:sz="6" w:space="0" w:color="auto"/>
            </w:tcBorders>
          </w:tcPr>
          <w:p w14:paraId="06CD9702" w14:textId="77777777" w:rsidR="0098530D" w:rsidRPr="00AB7CA1" w:rsidRDefault="0098530D" w:rsidP="00552502">
            <w:pPr>
              <w:pStyle w:val="Texto"/>
              <w:ind w:firstLine="0"/>
            </w:pPr>
            <w:r w:rsidRPr="00AB7CA1">
              <w:t>Oficio 600-04-02-2011-57051 de 25 julio de 2011, mediante el cual se dan a conocer los criterios normativos aprobados al primer trimestre 2011. Oficio 600-04-02-2011-58911 de 9 de diciembre de 2011, a través del cual se da a conocer el Boletín 2011, con el número de criterio normativo 70/2011/ISR.</w:t>
            </w:r>
          </w:p>
        </w:tc>
      </w:tr>
    </w:tbl>
    <w:p w14:paraId="23FC5F5A" w14:textId="77777777" w:rsidR="0098530D" w:rsidRPr="00AB7CA1" w:rsidRDefault="0098530D" w:rsidP="0098530D">
      <w:pPr>
        <w:pStyle w:val="Texto"/>
        <w:ind w:left="2736" w:hanging="1152"/>
        <w:rPr>
          <w:b/>
        </w:rPr>
      </w:pPr>
    </w:p>
    <w:p w14:paraId="23E2C36F" w14:textId="77777777" w:rsidR="0098530D" w:rsidRPr="00AB7CA1" w:rsidRDefault="0098530D" w:rsidP="0098530D">
      <w:pPr>
        <w:pStyle w:val="Texto"/>
        <w:ind w:left="2736" w:hanging="1152"/>
        <w:rPr>
          <w:b/>
        </w:rPr>
      </w:pPr>
      <w:r w:rsidRPr="00AB7CA1">
        <w:rPr>
          <w:b/>
        </w:rPr>
        <w:t>41/ISR/N</w:t>
      </w:r>
      <w:r w:rsidRPr="00AB7CA1">
        <w:rPr>
          <w:b/>
        </w:rPr>
        <w:tab/>
        <w:t>Devolución de saldos a favor a personas físicas. Acreditamiento del ISR pagado por la persona que distribuyó los dividendos.</w:t>
      </w:r>
    </w:p>
    <w:p w14:paraId="4D703498" w14:textId="77777777" w:rsidR="0098530D" w:rsidRPr="00AB7CA1" w:rsidRDefault="0098530D" w:rsidP="0098530D">
      <w:pPr>
        <w:pStyle w:val="Texto"/>
        <w:ind w:left="2736" w:hanging="1152"/>
      </w:pPr>
      <w:r w:rsidRPr="00AB7CA1">
        <w:rPr>
          <w:b/>
        </w:rPr>
        <w:tab/>
      </w:r>
      <w:r w:rsidRPr="00AB7CA1">
        <w:t>De conformidad con el artículo 140 de la Ley del ISR, las personas físicas que perciban dividendos podrán acreditar contra el impuesto determinado en su declaración anual, el ISR pagado por la sociedad que distribuyó dividendos o utilidades.</w:t>
      </w:r>
    </w:p>
    <w:p w14:paraId="649E78B1" w14:textId="77777777" w:rsidR="0098530D" w:rsidRPr="00AB7CA1" w:rsidRDefault="0098530D" w:rsidP="0098530D">
      <w:pPr>
        <w:pStyle w:val="Texto"/>
        <w:ind w:left="2736" w:hanging="1152"/>
      </w:pPr>
      <w:r w:rsidRPr="00AB7CA1">
        <w:tab/>
        <w:t>El artículo 152, penúltimo párrafo de la Ley del ISR establece que, en los casos en los que el impuesto a cargo del contribuyente sea menor que la cantidad que se acredite en los términos de dicho artículo, únicamente se podrá solicitar la devolución o efectuar la compensación del impuesto efectivamente pagado o que se le hubiera retenido.</w:t>
      </w:r>
    </w:p>
    <w:p w14:paraId="2E891776" w14:textId="77777777" w:rsidR="0098530D" w:rsidRPr="00AB7CA1" w:rsidRDefault="0098530D" w:rsidP="0098530D">
      <w:pPr>
        <w:pStyle w:val="Texto"/>
        <w:ind w:left="2736" w:hanging="1152"/>
      </w:pPr>
      <w:r w:rsidRPr="00AB7CA1">
        <w:lastRenderedPageBreak/>
        <w:tab/>
        <w:t>Por lo tanto, es viable que las personas físicas que perciban dividendos o utilidades soliciten en su caso, la devolución del saldo a favor derivado del acreditamiento del ISR efectivamente pagado por sociedades que distribuyan dichos dividendos o utilidades.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58FD290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C55D8B1" w14:textId="77777777" w:rsidR="0098530D" w:rsidRPr="00AB7CA1" w:rsidRDefault="0098530D" w:rsidP="00552502">
            <w:pPr>
              <w:pStyle w:val="Texto"/>
              <w:spacing w:line="234"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466DB6F" w14:textId="77777777" w:rsidR="0098530D" w:rsidRPr="00AB7CA1" w:rsidRDefault="0098530D" w:rsidP="00552502">
            <w:pPr>
              <w:pStyle w:val="Texto"/>
              <w:spacing w:line="234" w:lineRule="exact"/>
              <w:ind w:firstLine="0"/>
              <w:jc w:val="center"/>
              <w:rPr>
                <w:b/>
              </w:rPr>
            </w:pPr>
            <w:r w:rsidRPr="00AB7CA1">
              <w:rPr>
                <w:b/>
              </w:rPr>
              <w:t>Primer antecedente</w:t>
            </w:r>
          </w:p>
        </w:tc>
      </w:tr>
      <w:tr w:rsidR="0098530D" w:rsidRPr="00AB7CA1" w14:paraId="1366445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31D0855" w14:textId="77777777" w:rsidR="0098530D" w:rsidRPr="00AB7CA1" w:rsidRDefault="0098530D" w:rsidP="00552502">
            <w:pPr>
              <w:pStyle w:val="Texto"/>
              <w:spacing w:line="234" w:lineRule="exact"/>
              <w:ind w:firstLine="0"/>
            </w:pPr>
            <w:r w:rsidRPr="00AB7CA1">
              <w:t>22/2001/ISR</w:t>
            </w:r>
          </w:p>
        </w:tc>
        <w:tc>
          <w:tcPr>
            <w:tcW w:w="3237" w:type="pct"/>
            <w:tcBorders>
              <w:top w:val="single" w:sz="6" w:space="0" w:color="auto"/>
              <w:left w:val="single" w:sz="6" w:space="0" w:color="auto"/>
              <w:bottom w:val="single" w:sz="6" w:space="0" w:color="auto"/>
              <w:right w:val="single" w:sz="6" w:space="0" w:color="auto"/>
            </w:tcBorders>
          </w:tcPr>
          <w:p w14:paraId="0BD55D3A" w14:textId="77777777" w:rsidR="0098530D" w:rsidRPr="00AB7CA1" w:rsidRDefault="0098530D" w:rsidP="00552502">
            <w:pPr>
              <w:pStyle w:val="Texto"/>
              <w:spacing w:line="234" w:lineRule="exact"/>
              <w:ind w:firstLine="0"/>
            </w:pPr>
            <w:r w:rsidRPr="00AB7CA1">
              <w:t>Oficio 325-SAT-A-31123 de 14 de septiembre de 2001, mediante el cual se da a conocer la nueva Compilación de Criterios Normativos 2001.</w:t>
            </w:r>
          </w:p>
        </w:tc>
      </w:tr>
    </w:tbl>
    <w:p w14:paraId="55581535" w14:textId="77777777" w:rsidR="0098530D" w:rsidRPr="00AB7CA1" w:rsidRDefault="0098530D" w:rsidP="0098530D">
      <w:pPr>
        <w:pStyle w:val="Texto"/>
        <w:spacing w:line="234" w:lineRule="exact"/>
        <w:ind w:left="2736" w:hanging="1152"/>
        <w:rPr>
          <w:b/>
        </w:rPr>
      </w:pPr>
    </w:p>
    <w:p w14:paraId="2F3286E2" w14:textId="77777777" w:rsidR="0098530D" w:rsidRPr="00AB7CA1" w:rsidRDefault="0098530D" w:rsidP="0098530D">
      <w:pPr>
        <w:pStyle w:val="Texto"/>
        <w:spacing w:line="234" w:lineRule="exact"/>
        <w:ind w:left="2736" w:hanging="1152"/>
        <w:rPr>
          <w:b/>
          <w:lang w:val="es-ES_tradnl"/>
        </w:rPr>
      </w:pPr>
      <w:r w:rsidRPr="00AB7CA1">
        <w:rPr>
          <w:b/>
        </w:rPr>
        <w:t>42/ISR/N</w:t>
      </w:r>
      <w:r w:rsidRPr="00AB7CA1">
        <w:rPr>
          <w:b/>
        </w:rPr>
        <w:tab/>
      </w:r>
      <w:r w:rsidRPr="00AB7CA1">
        <w:rPr>
          <w:b/>
          <w:lang w:val="es-ES_tradnl"/>
        </w:rPr>
        <w:t>Préstamos a socios y accionistas. Se consideran dividendos.</w:t>
      </w:r>
    </w:p>
    <w:p w14:paraId="406D4832" w14:textId="77777777" w:rsidR="0098530D" w:rsidRPr="00AB7CA1" w:rsidRDefault="0098530D" w:rsidP="0098530D">
      <w:pPr>
        <w:pStyle w:val="Texto"/>
        <w:spacing w:line="234" w:lineRule="exact"/>
        <w:ind w:left="2736" w:hanging="1152"/>
      </w:pPr>
      <w:r w:rsidRPr="00AB7CA1">
        <w:rPr>
          <w:b/>
          <w:lang w:val="es-ES_tradnl"/>
        </w:rPr>
        <w:tab/>
      </w:r>
      <w:r w:rsidRPr="00AB7CA1">
        <w:t>El artículo 140, fracciones II y III de la Ley del ISR considera como dividendos o utilidades distribuidos, los préstamos efectuados a socios o accionistas que no reúnan los requisitos indicados en la citada disposición y las erogaciones no deducibles hechas en favor de los mismos.</w:t>
      </w:r>
    </w:p>
    <w:p w14:paraId="3B777391" w14:textId="77777777" w:rsidR="0098530D" w:rsidRPr="00AB7CA1" w:rsidRDefault="0098530D" w:rsidP="0098530D">
      <w:pPr>
        <w:pStyle w:val="Texto"/>
        <w:spacing w:line="234" w:lineRule="exact"/>
        <w:ind w:left="2736" w:hanging="1152"/>
      </w:pPr>
      <w:r w:rsidRPr="00AB7CA1">
        <w:tab/>
        <w:t>En los términos del artículo 10 de la misma Ley, las personas morales que distribuyan dividendos o utilidades que no provengan de la Cuenta de Utilidad Fiscal Neta, deberán calcular el impuesto que corresponda.</w:t>
      </w:r>
    </w:p>
    <w:p w14:paraId="70994D80" w14:textId="77777777" w:rsidR="0098530D" w:rsidRPr="00AB7CA1" w:rsidRDefault="0098530D" w:rsidP="0098530D">
      <w:pPr>
        <w:pStyle w:val="Texto"/>
        <w:spacing w:line="234" w:lineRule="exact"/>
        <w:ind w:left="2736" w:hanging="1152"/>
      </w:pPr>
      <w:r w:rsidRPr="00AB7CA1">
        <w:tab/>
        <w:t>Derivado de que la aplicación de los ingresos tipificados como utilidades distribuidas en los términos del artículo 140, fracciones II y III de la Ley del ISR, no provienen de la Cuenta de Utilidad Fiscal Neta, por lo que debe estarse a lo señalado en el artículo 10 de la Ley en comento.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DBB6F2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443F20CF" w14:textId="77777777" w:rsidR="0098530D" w:rsidRPr="00AB7CA1" w:rsidRDefault="0098530D" w:rsidP="00552502">
            <w:pPr>
              <w:pStyle w:val="Texto"/>
              <w:spacing w:line="234"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44DA8209" w14:textId="77777777" w:rsidR="0098530D" w:rsidRPr="00AB7CA1" w:rsidRDefault="0098530D" w:rsidP="00552502">
            <w:pPr>
              <w:pStyle w:val="Texto"/>
              <w:spacing w:line="234" w:lineRule="exact"/>
              <w:ind w:firstLine="0"/>
              <w:jc w:val="center"/>
              <w:rPr>
                <w:b/>
              </w:rPr>
            </w:pPr>
            <w:r w:rsidRPr="00AB7CA1">
              <w:rPr>
                <w:b/>
              </w:rPr>
              <w:t>Primer antecedente</w:t>
            </w:r>
          </w:p>
        </w:tc>
      </w:tr>
      <w:tr w:rsidR="0098530D" w:rsidRPr="00AB7CA1" w14:paraId="1F34B2A0"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AA3395A" w14:textId="77777777" w:rsidR="0098530D" w:rsidRPr="00AB7CA1" w:rsidRDefault="0098530D" w:rsidP="00552502">
            <w:pPr>
              <w:pStyle w:val="Texto"/>
              <w:spacing w:line="234" w:lineRule="exact"/>
              <w:ind w:firstLine="0"/>
            </w:pPr>
            <w:r w:rsidRPr="00AB7CA1">
              <w:t>3.5.6.</w:t>
            </w:r>
          </w:p>
        </w:tc>
        <w:tc>
          <w:tcPr>
            <w:tcW w:w="3237" w:type="pct"/>
            <w:tcBorders>
              <w:top w:val="single" w:sz="6" w:space="0" w:color="auto"/>
              <w:left w:val="single" w:sz="6" w:space="0" w:color="auto"/>
              <w:bottom w:val="single" w:sz="6" w:space="0" w:color="auto"/>
              <w:right w:val="single" w:sz="6" w:space="0" w:color="auto"/>
            </w:tcBorders>
          </w:tcPr>
          <w:p w14:paraId="12DC0EE9" w14:textId="77777777" w:rsidR="0098530D" w:rsidRPr="00AB7CA1" w:rsidRDefault="0098530D" w:rsidP="00552502">
            <w:pPr>
              <w:pStyle w:val="Texto"/>
              <w:spacing w:line="234" w:lineRule="exact"/>
              <w:ind w:firstLine="0"/>
            </w:pPr>
            <w:r w:rsidRPr="00AB7CA1">
              <w:t>Oficio 102-SAT-13 de 4 de julio de 1997, a través del cual se emite la Compilación de Normatividad Sustantiva de Impuestos Internos.</w:t>
            </w:r>
          </w:p>
        </w:tc>
      </w:tr>
    </w:tbl>
    <w:p w14:paraId="43B55D85" w14:textId="77777777" w:rsidR="0098530D" w:rsidRPr="00AB7CA1" w:rsidRDefault="0098530D" w:rsidP="0098530D">
      <w:pPr>
        <w:pStyle w:val="Texto"/>
        <w:spacing w:line="234" w:lineRule="exact"/>
        <w:rPr>
          <w:b/>
        </w:rPr>
      </w:pPr>
    </w:p>
    <w:p w14:paraId="1FD19667" w14:textId="77777777" w:rsidR="0098530D" w:rsidRPr="00AB7CA1" w:rsidRDefault="0098530D" w:rsidP="0098530D">
      <w:pPr>
        <w:pStyle w:val="Texto"/>
        <w:spacing w:line="235" w:lineRule="exact"/>
        <w:ind w:left="2736" w:hanging="1152"/>
        <w:rPr>
          <w:b/>
        </w:rPr>
      </w:pPr>
      <w:r w:rsidRPr="00AB7CA1">
        <w:rPr>
          <w:b/>
        </w:rPr>
        <w:t>43/ISR/N</w:t>
      </w:r>
      <w:r w:rsidRPr="00AB7CA1">
        <w:rPr>
          <w:b/>
        </w:rPr>
        <w:tab/>
        <w:t>Distribución de dividendos. Monto del acreditamiento del ISR que tienen derecho de aplicar las personas físicas en la declaración del ejercicio, cuando reciban dividendos de persona moral dedicada exclusivamente a actividades agrícolas, ganaderas, pesqueras o silvícolas.</w:t>
      </w:r>
    </w:p>
    <w:p w14:paraId="4683B426" w14:textId="77777777" w:rsidR="0098530D" w:rsidRPr="00AB7CA1" w:rsidRDefault="0098530D" w:rsidP="0098530D">
      <w:pPr>
        <w:pStyle w:val="Texto"/>
        <w:spacing w:line="235" w:lineRule="exact"/>
        <w:ind w:left="2736" w:hanging="1152"/>
      </w:pPr>
      <w:r w:rsidRPr="00AB7CA1">
        <w:rPr>
          <w:b/>
        </w:rPr>
        <w:tab/>
      </w:r>
      <w:r w:rsidRPr="00AB7CA1">
        <w:t>El artículo 140 de la Ley del ISR establece la obligación para que las personas físicas acumulen a sus demás ingresos, los percibidos por dividendos o utilidades. El citado artículo dispone que las personas físicas que acumulen y que opten por acreditar contra el impuesto que se determine en su declaración anual, el ISR pagado por la sociedad que distribuyó los dividendos o utilidades, para calcular el impuesto pagado por la sociedad, aplicarán la tasa señalada en el artículo 9 de la Ley del ISR y el factor señalado en el artículo 140 de dicha Ley, sin indicar excepción alguna a tal supuesto.</w:t>
      </w:r>
    </w:p>
    <w:p w14:paraId="45A301A0" w14:textId="77777777" w:rsidR="0098530D" w:rsidRPr="00AB7CA1" w:rsidRDefault="0098530D" w:rsidP="0098530D">
      <w:pPr>
        <w:pStyle w:val="Texto"/>
        <w:spacing w:line="235" w:lineRule="exact"/>
        <w:ind w:left="2736" w:hanging="1152"/>
      </w:pPr>
      <w:r w:rsidRPr="00AB7CA1">
        <w:tab/>
        <w:t>Por lo anterior, no obstante que dicho dividendo o utilidad pueda provenir de una persona moral que se dedique exclusivamente a actividades agrícolas, ganaderas, pesqueras o silvícolas que para calcular el ISR correspondiente a dicho dividendo o utilidad distribuido, haya aplicado el factor reducido que señala el segundo párrafo del artículo 10 de la Ley en comento; las personas morales referidas calcularán el impuesto pagado por la sociedad a que se refiere el artículo 140, primer párrafo de dicha Ley, conforme a lo indicado en esta disposición.</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561F027C"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19823F94" w14:textId="77777777" w:rsidR="0098530D" w:rsidRPr="00AB7CA1" w:rsidRDefault="0098530D" w:rsidP="00552502">
            <w:pPr>
              <w:pStyle w:val="Texto"/>
              <w:spacing w:line="234" w:lineRule="exact"/>
              <w:ind w:firstLine="0"/>
              <w:jc w:val="center"/>
              <w:rPr>
                <w:b/>
              </w:rPr>
            </w:pPr>
            <w:r w:rsidRPr="00AB7CA1">
              <w:rPr>
                <w:b/>
              </w:rPr>
              <w:lastRenderedPageBreak/>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4CDCC2F" w14:textId="77777777" w:rsidR="0098530D" w:rsidRPr="00AB7CA1" w:rsidRDefault="0098530D" w:rsidP="00552502">
            <w:pPr>
              <w:pStyle w:val="Texto"/>
              <w:spacing w:line="234" w:lineRule="exact"/>
              <w:ind w:firstLine="0"/>
              <w:jc w:val="center"/>
              <w:rPr>
                <w:b/>
              </w:rPr>
            </w:pPr>
            <w:r w:rsidRPr="00AB7CA1">
              <w:rPr>
                <w:b/>
              </w:rPr>
              <w:t>Primer antecedente</w:t>
            </w:r>
          </w:p>
        </w:tc>
      </w:tr>
      <w:tr w:rsidR="0098530D" w:rsidRPr="00AB7CA1" w14:paraId="3B9FA49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EAF3FF6" w14:textId="77777777" w:rsidR="0098530D" w:rsidRPr="00AB7CA1" w:rsidRDefault="0098530D" w:rsidP="00552502">
            <w:pPr>
              <w:pStyle w:val="Texto"/>
              <w:spacing w:line="234" w:lineRule="exact"/>
              <w:ind w:firstLine="0"/>
            </w:pPr>
            <w:r w:rsidRPr="00AB7CA1">
              <w:t>63/2007/ISR</w:t>
            </w:r>
          </w:p>
        </w:tc>
        <w:tc>
          <w:tcPr>
            <w:tcW w:w="3237" w:type="pct"/>
            <w:tcBorders>
              <w:top w:val="single" w:sz="6" w:space="0" w:color="auto"/>
              <w:left w:val="single" w:sz="6" w:space="0" w:color="auto"/>
              <w:bottom w:val="single" w:sz="6" w:space="0" w:color="auto"/>
              <w:right w:val="single" w:sz="6" w:space="0" w:color="auto"/>
            </w:tcBorders>
          </w:tcPr>
          <w:p w14:paraId="2435B64E" w14:textId="77777777" w:rsidR="0098530D" w:rsidRPr="00AB7CA1" w:rsidRDefault="0098530D" w:rsidP="00552502">
            <w:pPr>
              <w:pStyle w:val="Texto"/>
              <w:spacing w:line="234" w:lineRule="exact"/>
              <w:ind w:firstLine="0"/>
            </w:pPr>
            <w:r w:rsidRPr="00AB7CA1">
              <w:t>Oficio 325-SAT-09-04-B-90015 de 14 de diciembre de 2007, mediante el cual se da a conocer el Boletín 2007.</w:t>
            </w:r>
          </w:p>
        </w:tc>
      </w:tr>
    </w:tbl>
    <w:p w14:paraId="76799E39" w14:textId="77777777" w:rsidR="0098530D" w:rsidRPr="00AB7CA1" w:rsidRDefault="0098530D" w:rsidP="0098530D">
      <w:pPr>
        <w:pStyle w:val="Texto"/>
        <w:spacing w:line="220" w:lineRule="exact"/>
        <w:ind w:left="2736" w:hanging="1152"/>
        <w:rPr>
          <w:b/>
        </w:rPr>
      </w:pPr>
      <w:r w:rsidRPr="00AB7CA1">
        <w:rPr>
          <w:b/>
        </w:rPr>
        <w:t>44/ISR/N</w:t>
      </w:r>
      <w:r w:rsidRPr="00AB7CA1">
        <w:rPr>
          <w:b/>
        </w:rPr>
        <w:tab/>
        <w:t>Personas físicas. Ingresos percibidos por estímulos fiscales, se consideran percibidos en el momento que se incrementa el patrimonio.</w:t>
      </w:r>
    </w:p>
    <w:p w14:paraId="32B7F675" w14:textId="77777777" w:rsidR="0098530D" w:rsidRPr="00AB7CA1" w:rsidRDefault="0098530D" w:rsidP="0098530D">
      <w:pPr>
        <w:pStyle w:val="Texto"/>
        <w:spacing w:line="220" w:lineRule="exact"/>
        <w:ind w:left="2736" w:hanging="1152"/>
      </w:pPr>
      <w:r w:rsidRPr="00AB7CA1">
        <w:rPr>
          <w:b/>
        </w:rPr>
        <w:tab/>
      </w:r>
      <w:r w:rsidRPr="00AB7CA1">
        <w:t>El artículo 141 de la Ley del ISR dispone que las personas físicas que obtengan ingresos distintos de los señalados en los Capítulos I a VIII del Título IV de la misma Ley, los considerarán percibidos en el monto en que al momento de obtenerlos incrementan su patrimonio, con excepción de los casos señalados en el propio artículo.</w:t>
      </w:r>
    </w:p>
    <w:p w14:paraId="5676A2D2" w14:textId="77777777" w:rsidR="0098530D" w:rsidRPr="00AB7CA1" w:rsidRDefault="0098530D" w:rsidP="0098530D">
      <w:pPr>
        <w:pStyle w:val="Texto"/>
        <w:spacing w:line="220" w:lineRule="exact"/>
        <w:ind w:left="2736" w:hanging="1152"/>
      </w:pPr>
      <w:r w:rsidRPr="00AB7CA1">
        <w:tab/>
        <w:t>El artículo 1o., primer párrafo del CFF estipula que las disposiciones de dicho ordenamiento se aplicarán en defecto de las leyes fiscales y sin perjuicio de lo previsto por los tratados internacionales en los que México sea parte.</w:t>
      </w:r>
    </w:p>
    <w:p w14:paraId="20513499" w14:textId="77777777" w:rsidR="0098530D" w:rsidRPr="00AB7CA1" w:rsidRDefault="0098530D" w:rsidP="0098530D">
      <w:pPr>
        <w:pStyle w:val="Texto"/>
        <w:spacing w:line="220" w:lineRule="exact"/>
        <w:ind w:left="2736" w:hanging="1152"/>
      </w:pPr>
      <w:r w:rsidRPr="00AB7CA1">
        <w:tab/>
        <w:t>El artículo 6o., primer párrafo del CFF dispone que las contribuciones se causan conforme se realizan las situaciones jurídicas o de hecho, previstas en las leyes fiscales vigentes durante el lapso en que ocurran.</w:t>
      </w:r>
    </w:p>
    <w:p w14:paraId="665B910B" w14:textId="77777777" w:rsidR="0098530D" w:rsidRPr="00AB7CA1" w:rsidRDefault="0098530D" w:rsidP="0098530D">
      <w:pPr>
        <w:pStyle w:val="Texto"/>
        <w:spacing w:line="220" w:lineRule="exact"/>
        <w:ind w:left="2736" w:hanging="1152"/>
      </w:pPr>
      <w:r w:rsidRPr="00AB7CA1">
        <w:tab/>
        <w:t>Así, tratándose de estímulos fiscales, el gravamen correspondiente se causa cuando en términos de lo previsto por el artículo 141 de la Ley del ISR, los ingresos obtenidos por dicho concepto incrementan el patrimonio del contribuyente.</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44F9AD56"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1D84D6D" w14:textId="77777777" w:rsidR="0098530D" w:rsidRPr="00AB7CA1" w:rsidRDefault="0098530D" w:rsidP="00552502">
            <w:pPr>
              <w:pStyle w:val="Texto"/>
              <w:spacing w:line="220"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421F4728" w14:textId="77777777" w:rsidR="0098530D" w:rsidRPr="00AB7CA1" w:rsidRDefault="0098530D" w:rsidP="00552502">
            <w:pPr>
              <w:pStyle w:val="Texto"/>
              <w:spacing w:line="220" w:lineRule="exact"/>
              <w:ind w:firstLine="0"/>
              <w:jc w:val="center"/>
              <w:rPr>
                <w:b/>
              </w:rPr>
            </w:pPr>
            <w:r w:rsidRPr="00AB7CA1">
              <w:rPr>
                <w:b/>
              </w:rPr>
              <w:t>Primer antecedente</w:t>
            </w:r>
          </w:p>
        </w:tc>
      </w:tr>
      <w:tr w:rsidR="0098530D" w:rsidRPr="00AB7CA1" w14:paraId="08A24F6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97B93FC" w14:textId="77777777" w:rsidR="0098530D" w:rsidRPr="00AB7CA1" w:rsidRDefault="0098530D" w:rsidP="00552502">
            <w:pPr>
              <w:pStyle w:val="Texto"/>
              <w:spacing w:line="220" w:lineRule="exact"/>
              <w:ind w:firstLine="0"/>
            </w:pPr>
            <w:r w:rsidRPr="00AB7CA1">
              <w:t>2009</w:t>
            </w:r>
          </w:p>
        </w:tc>
        <w:tc>
          <w:tcPr>
            <w:tcW w:w="3237" w:type="pct"/>
            <w:tcBorders>
              <w:top w:val="single" w:sz="6" w:space="0" w:color="auto"/>
              <w:left w:val="single" w:sz="6" w:space="0" w:color="auto"/>
              <w:bottom w:val="single" w:sz="6" w:space="0" w:color="auto"/>
              <w:right w:val="single" w:sz="6" w:space="0" w:color="auto"/>
            </w:tcBorders>
          </w:tcPr>
          <w:p w14:paraId="54E8F8EC" w14:textId="77777777" w:rsidR="0098530D" w:rsidRPr="00AB7CA1" w:rsidRDefault="0098530D" w:rsidP="00552502">
            <w:pPr>
              <w:pStyle w:val="Texto"/>
              <w:spacing w:line="220" w:lineRule="exact"/>
              <w:ind w:firstLine="0"/>
            </w:pPr>
            <w:r w:rsidRPr="00AB7CA1">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78/2009/ISR.</w:t>
            </w:r>
          </w:p>
        </w:tc>
      </w:tr>
    </w:tbl>
    <w:p w14:paraId="55CDCC55" w14:textId="77777777" w:rsidR="0098530D" w:rsidRPr="00AB7CA1" w:rsidRDefault="0098530D" w:rsidP="0098530D">
      <w:pPr>
        <w:pStyle w:val="Texto"/>
        <w:spacing w:line="220" w:lineRule="exact"/>
        <w:rPr>
          <w:b/>
        </w:rPr>
      </w:pPr>
    </w:p>
    <w:p w14:paraId="5324BA82" w14:textId="77777777" w:rsidR="0098530D" w:rsidRPr="00AB7CA1" w:rsidRDefault="0098530D" w:rsidP="0098530D">
      <w:pPr>
        <w:pStyle w:val="Texto"/>
        <w:spacing w:line="220" w:lineRule="exact"/>
        <w:ind w:left="2736" w:hanging="1152"/>
        <w:rPr>
          <w:b/>
        </w:rPr>
      </w:pPr>
      <w:r w:rsidRPr="00AB7CA1">
        <w:rPr>
          <w:b/>
        </w:rPr>
        <w:t>45/ISR/N</w:t>
      </w:r>
      <w:r w:rsidRPr="00AB7CA1">
        <w:rPr>
          <w:b/>
        </w:rPr>
        <w:tab/>
        <w:t>Operaciones financieras derivadas en las que se liquiden diferencias durante su vigencia. Se considera que existe un vencimiento en cada liquidación respecto del monto de la diferencia liquidada.</w:t>
      </w:r>
    </w:p>
    <w:p w14:paraId="43140111" w14:textId="77777777" w:rsidR="0098530D" w:rsidRPr="00AB7CA1" w:rsidRDefault="0098530D" w:rsidP="0098530D">
      <w:pPr>
        <w:pStyle w:val="Texto"/>
        <w:spacing w:line="220" w:lineRule="exact"/>
        <w:ind w:left="2736" w:hanging="1152"/>
      </w:pPr>
      <w:r w:rsidRPr="00AB7CA1">
        <w:rPr>
          <w:b/>
        </w:rPr>
        <w:tab/>
      </w:r>
      <w:r w:rsidRPr="00AB7CA1">
        <w:t>El artículo 146, quinto párrafo de la Ley del ISR establece que para los efectos de dicho artículo, se entiende que la ganancia obtenida o la pérdida generada es aquélla que, entre otros, se realiza al momento del vencimiento de la operación financiera derivada, independientemente del ejercicio de los derechos establecidos en la misma operación.</w:t>
      </w:r>
    </w:p>
    <w:p w14:paraId="7179BBF8" w14:textId="77777777" w:rsidR="0098530D" w:rsidRPr="00AB7CA1" w:rsidRDefault="0098530D" w:rsidP="0098530D">
      <w:pPr>
        <w:pStyle w:val="Texto"/>
        <w:spacing w:line="220" w:lineRule="exact"/>
        <w:ind w:left="2736" w:hanging="1152"/>
      </w:pPr>
      <w:r w:rsidRPr="00AB7CA1">
        <w:tab/>
        <w:t>Los artículos 16-A, fracción II del CFF y 20, fracción VII y quinto y sexto párrafos de la Ley del ISR, reconocen que existen operaciones financieras derivadas en las que se liquidan diferencias durante su vigencia. Un efecto de la liquidación de tales diferencias es que dichas operaciones no tienen un solo vencimiento, sino un vencimiento en cada liquidación respecto del monto de la diferencia liquidada.</w:t>
      </w:r>
    </w:p>
    <w:p w14:paraId="662D0E48" w14:textId="77777777" w:rsidR="0098530D" w:rsidRPr="00AB7CA1" w:rsidRDefault="0098530D" w:rsidP="0098530D">
      <w:pPr>
        <w:pStyle w:val="Texto"/>
        <w:spacing w:line="220" w:lineRule="exact"/>
        <w:ind w:left="2736" w:hanging="1152"/>
      </w:pPr>
      <w:r w:rsidRPr="00AB7CA1">
        <w:tab/>
        <w:t>En consecuencia, para los efectos del artículo 146, quinto párrafo de la Ley del ISR, en las operaciones financieras derivadas en las que se liquiden diferencias durante su vigencia, se considera que la operación financiera derivada de que se trate tiene un vencimiento en cada liquidación respecto del monto de la diferencia liquidada.</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5A40C48"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989BD4A" w14:textId="77777777" w:rsidR="0098530D" w:rsidRPr="00AB7CA1" w:rsidRDefault="0098530D" w:rsidP="00552502">
            <w:pPr>
              <w:pStyle w:val="Texto"/>
              <w:spacing w:line="220"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42FB79E" w14:textId="77777777" w:rsidR="0098530D" w:rsidRPr="00AB7CA1" w:rsidRDefault="0098530D" w:rsidP="00552502">
            <w:pPr>
              <w:pStyle w:val="Texto"/>
              <w:spacing w:line="220" w:lineRule="exact"/>
              <w:ind w:firstLine="0"/>
              <w:jc w:val="center"/>
              <w:rPr>
                <w:b/>
              </w:rPr>
            </w:pPr>
            <w:r w:rsidRPr="00AB7CA1">
              <w:rPr>
                <w:b/>
              </w:rPr>
              <w:t>Primer antecedente</w:t>
            </w:r>
          </w:p>
        </w:tc>
      </w:tr>
      <w:tr w:rsidR="0098530D" w:rsidRPr="00AB7CA1" w14:paraId="5259E9F6"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5177DE80" w14:textId="77777777" w:rsidR="0098530D" w:rsidRPr="00AB7CA1" w:rsidRDefault="0098530D" w:rsidP="00552502">
            <w:pPr>
              <w:pStyle w:val="Texto"/>
              <w:spacing w:line="220" w:lineRule="exact"/>
              <w:ind w:firstLine="0"/>
            </w:pPr>
            <w:r w:rsidRPr="00AB7CA1">
              <w:lastRenderedPageBreak/>
              <w:t>2013</w:t>
            </w:r>
          </w:p>
        </w:tc>
        <w:tc>
          <w:tcPr>
            <w:tcW w:w="3237" w:type="pct"/>
            <w:tcBorders>
              <w:top w:val="single" w:sz="6" w:space="0" w:color="auto"/>
              <w:left w:val="single" w:sz="6" w:space="0" w:color="auto"/>
              <w:bottom w:val="single" w:sz="6" w:space="0" w:color="auto"/>
              <w:right w:val="single" w:sz="6" w:space="0" w:color="auto"/>
            </w:tcBorders>
          </w:tcPr>
          <w:p w14:paraId="7E9FC51D" w14:textId="77777777" w:rsidR="0098530D" w:rsidRPr="00AB7CA1" w:rsidRDefault="0098530D" w:rsidP="00552502">
            <w:pPr>
              <w:pStyle w:val="Texto"/>
              <w:spacing w:line="220" w:lineRule="exact"/>
              <w:ind w:firstLine="0"/>
            </w:pPr>
            <w:r w:rsidRPr="00AB7CA1">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95/2013/ISR.</w:t>
            </w:r>
          </w:p>
        </w:tc>
      </w:tr>
    </w:tbl>
    <w:p w14:paraId="5E716918" w14:textId="77777777" w:rsidR="0098530D" w:rsidRPr="00AB7CA1" w:rsidRDefault="0098530D" w:rsidP="0098530D">
      <w:pPr>
        <w:pStyle w:val="Texto"/>
        <w:spacing w:after="80"/>
        <w:ind w:left="2736" w:hanging="1152"/>
        <w:rPr>
          <w:b/>
          <w:lang w:val="es-ES_tradnl"/>
        </w:rPr>
      </w:pPr>
      <w:r w:rsidRPr="00AB7CA1">
        <w:rPr>
          <w:b/>
        </w:rPr>
        <w:t>46/ISR/N</w:t>
      </w:r>
      <w:r w:rsidRPr="00AB7CA1">
        <w:rPr>
          <w:b/>
        </w:rPr>
        <w:tab/>
      </w:r>
      <w:r w:rsidRPr="00AB7CA1">
        <w:rPr>
          <w:b/>
          <w:lang w:val="es-ES_tradnl"/>
        </w:rPr>
        <w:t>Deducible del seguro de gastos médicos. No es una deducción personal.</w:t>
      </w:r>
    </w:p>
    <w:p w14:paraId="3FD998AF" w14:textId="77777777" w:rsidR="0098530D" w:rsidRPr="00AB7CA1" w:rsidRDefault="0098530D" w:rsidP="0098530D">
      <w:pPr>
        <w:pStyle w:val="Texto"/>
        <w:spacing w:after="80"/>
        <w:ind w:left="2736" w:hanging="1152"/>
      </w:pPr>
      <w:r w:rsidRPr="00AB7CA1">
        <w:rPr>
          <w:b/>
          <w:lang w:val="es-ES_tradnl"/>
        </w:rPr>
        <w:tab/>
      </w:r>
      <w:r w:rsidRPr="00AB7CA1">
        <w:t>El artículo 151, fracciones I y VI de la Ley del ISR establece como deducciones personales los pagos por honorarios médicos, dentales, por servicios profesionales en materia de psicología y nutrición prestados por personas con título profesional legamente expedido y registrado por las autoridades educativas competentes, así como los gastos hospitalarios, y las primas por seguros de gastos médicos.</w:t>
      </w:r>
    </w:p>
    <w:p w14:paraId="19C338AF" w14:textId="77777777" w:rsidR="0098530D" w:rsidRPr="00AB7CA1" w:rsidRDefault="0098530D" w:rsidP="0098530D">
      <w:pPr>
        <w:pStyle w:val="Texto"/>
        <w:spacing w:after="80"/>
        <w:ind w:left="2736" w:hanging="1152"/>
        <w:rPr>
          <w:lang w:val="es-ES_tradnl"/>
        </w:rPr>
      </w:pPr>
      <w:r w:rsidRPr="00AB7CA1">
        <w:tab/>
        <w:t>En el contrato de seguro la compañía aseguradora se obliga, mediante una prima, a resarcir un daño o a pagar una suma de dinero; asimismo, el contratante del seguro está obligado a pagar el deducible estipulado en dicho contrato de conformidad con los artículos 1 y 86 de la Ley sobre el Contrato de Seguro.</w:t>
      </w:r>
    </w:p>
    <w:p w14:paraId="71625382" w14:textId="77777777" w:rsidR="0098530D" w:rsidRPr="00AB7CA1" w:rsidRDefault="0098530D" w:rsidP="0098530D">
      <w:pPr>
        <w:pStyle w:val="Texto"/>
        <w:spacing w:after="80"/>
        <w:ind w:left="2736" w:hanging="1152"/>
      </w:pPr>
      <w:r w:rsidRPr="00AB7CA1">
        <w:rPr>
          <w:lang w:val="es-ES_tradnl"/>
        </w:rPr>
        <w:tab/>
      </w:r>
      <w:r w:rsidRPr="00AB7CA1">
        <w:t>Por lo tanto, el pago del deducible del seguro de gastos médicos no es un gasto médico, ni es una prima por concepto de dicho seguro, en virtud de que son erogaciones realizadas como una contraprestación de los servicios otorgados por la compañía aseguradora de conformidad con la Ley sobre el Contrato de Seguro y por ello, no podrán considerarse como una deducción personal para efectos del ISR.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554D13DC"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42A9C6F" w14:textId="77777777" w:rsidR="0098530D" w:rsidRPr="00AB7CA1" w:rsidRDefault="0098530D" w:rsidP="00552502">
            <w:pPr>
              <w:pStyle w:val="Texto"/>
              <w:spacing w:after="80"/>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1C0320E" w14:textId="77777777" w:rsidR="0098530D" w:rsidRPr="00AB7CA1" w:rsidRDefault="0098530D" w:rsidP="00552502">
            <w:pPr>
              <w:pStyle w:val="Texto"/>
              <w:spacing w:after="80"/>
              <w:ind w:firstLine="0"/>
              <w:jc w:val="center"/>
              <w:rPr>
                <w:b/>
              </w:rPr>
            </w:pPr>
            <w:r w:rsidRPr="00AB7CA1">
              <w:rPr>
                <w:b/>
              </w:rPr>
              <w:t>Primer antecedente</w:t>
            </w:r>
          </w:p>
        </w:tc>
      </w:tr>
      <w:tr w:rsidR="0098530D" w:rsidRPr="00AB7CA1" w14:paraId="238D0BB2"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8FFB16C" w14:textId="77777777" w:rsidR="0098530D" w:rsidRPr="00AB7CA1" w:rsidRDefault="0098530D" w:rsidP="00552502">
            <w:pPr>
              <w:pStyle w:val="Texto"/>
              <w:spacing w:after="80"/>
              <w:ind w:firstLine="0"/>
            </w:pPr>
            <w:r w:rsidRPr="00AB7CA1">
              <w:t>117/2001/ISR</w:t>
            </w:r>
          </w:p>
        </w:tc>
        <w:tc>
          <w:tcPr>
            <w:tcW w:w="3237" w:type="pct"/>
            <w:tcBorders>
              <w:top w:val="single" w:sz="6" w:space="0" w:color="auto"/>
              <w:left w:val="single" w:sz="6" w:space="0" w:color="auto"/>
              <w:bottom w:val="single" w:sz="6" w:space="0" w:color="auto"/>
              <w:right w:val="single" w:sz="6" w:space="0" w:color="auto"/>
            </w:tcBorders>
          </w:tcPr>
          <w:p w14:paraId="54462F2F" w14:textId="77777777" w:rsidR="0098530D" w:rsidRPr="00AB7CA1" w:rsidRDefault="0098530D" w:rsidP="00552502">
            <w:pPr>
              <w:pStyle w:val="Texto"/>
              <w:spacing w:after="80"/>
              <w:ind w:firstLine="0"/>
            </w:pPr>
            <w:r w:rsidRPr="00AB7CA1">
              <w:t>Oficio 325-SAT-A-31373 de 12 de diciembre de 2001. Compilación de Criterios Normativos. Se dan a conocer criterios.</w:t>
            </w:r>
          </w:p>
        </w:tc>
      </w:tr>
    </w:tbl>
    <w:p w14:paraId="75067B89" w14:textId="77777777" w:rsidR="0098530D" w:rsidRPr="00AB7CA1" w:rsidRDefault="0098530D" w:rsidP="0098530D">
      <w:pPr>
        <w:pStyle w:val="Texto"/>
        <w:spacing w:after="80"/>
        <w:ind w:left="2736" w:hanging="1152"/>
        <w:rPr>
          <w:b/>
        </w:rPr>
      </w:pPr>
    </w:p>
    <w:p w14:paraId="14BE28BD" w14:textId="77777777" w:rsidR="0098530D" w:rsidRPr="00AB7CA1" w:rsidRDefault="0098530D" w:rsidP="0098530D">
      <w:pPr>
        <w:pStyle w:val="Texto"/>
        <w:spacing w:after="80"/>
        <w:ind w:left="2736" w:hanging="1152"/>
        <w:rPr>
          <w:b/>
          <w:lang w:val="es-ES_tradnl"/>
        </w:rPr>
      </w:pPr>
      <w:r w:rsidRPr="00AB7CA1">
        <w:rPr>
          <w:b/>
        </w:rPr>
        <w:t>47/ISR/N</w:t>
      </w:r>
      <w:r w:rsidRPr="00AB7CA1">
        <w:rPr>
          <w:b/>
        </w:rPr>
        <w:tab/>
      </w:r>
      <w:r w:rsidRPr="00AB7CA1">
        <w:rPr>
          <w:b/>
          <w:lang w:val="es-ES_tradnl"/>
        </w:rPr>
        <w:t>Ingresos por honorarios y en general por la prestación de un servicio profesional, para los efectos del Título V de la Ley del ISR.</w:t>
      </w:r>
    </w:p>
    <w:p w14:paraId="5E2D98C6" w14:textId="77777777" w:rsidR="0098530D" w:rsidRPr="00AB7CA1" w:rsidRDefault="0098530D" w:rsidP="0098530D">
      <w:pPr>
        <w:pStyle w:val="Texto"/>
        <w:spacing w:after="80"/>
        <w:ind w:left="2736" w:hanging="1152"/>
      </w:pPr>
      <w:r w:rsidRPr="00AB7CA1">
        <w:rPr>
          <w:b/>
          <w:lang w:val="es-ES_tradnl"/>
        </w:rPr>
        <w:tab/>
      </w:r>
      <w:r w:rsidRPr="00AB7CA1">
        <w:t>El artículo 175, fracción II de la Ley del ISR establece que para los efectos del Título V de dicha Ley, se consideran ingresos por honorarios y en general por la prestación de un servicio profesional, los indicados en el artículo 100 de la misma ley; este último artículo, señala qué ingresos se considerarán por actividades empresariales –fracción I– y cuáles, por la prestación de un servicio profesional –fracción II–.</w:t>
      </w:r>
    </w:p>
    <w:p w14:paraId="164AD406" w14:textId="77777777" w:rsidR="0098530D" w:rsidRPr="00AB7CA1" w:rsidRDefault="0098530D" w:rsidP="0098530D">
      <w:pPr>
        <w:pStyle w:val="Texto"/>
        <w:spacing w:after="80"/>
        <w:ind w:left="2736" w:hanging="1152"/>
      </w:pPr>
      <w:r w:rsidRPr="00AB7CA1">
        <w:tab/>
        <w:t>El artículo 175, fracción VI de la Ley del ISR dispone lo que, para efectos del Título V de la citada ley, se consideran ingresos por actividades empresariales.</w:t>
      </w:r>
    </w:p>
    <w:p w14:paraId="4FB4B9D4" w14:textId="77777777" w:rsidR="0098530D" w:rsidRPr="00AB7CA1" w:rsidRDefault="0098530D" w:rsidP="0098530D">
      <w:pPr>
        <w:pStyle w:val="Texto"/>
        <w:spacing w:after="80"/>
        <w:ind w:left="2736" w:hanging="1152"/>
      </w:pPr>
      <w:r w:rsidRPr="00AB7CA1">
        <w:tab/>
        <w:t>Por tanto, la remisión del artículo 175, fracción II de la Ley del ISR a los ingresos indicados en el artículo 100 del mismo ordenamiento legal, debe entenderse hecha a los ingresos por la prestación de un servicio profesional, a que se refiere la fracción II del último artículo referido.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96D5C20"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349D713" w14:textId="77777777" w:rsidR="0098530D" w:rsidRPr="00AB7CA1" w:rsidRDefault="0098530D" w:rsidP="00552502">
            <w:pPr>
              <w:pStyle w:val="Texto"/>
              <w:spacing w:after="80"/>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2CCE4AC" w14:textId="77777777" w:rsidR="0098530D" w:rsidRPr="00AB7CA1" w:rsidRDefault="0098530D" w:rsidP="00552502">
            <w:pPr>
              <w:pStyle w:val="Texto"/>
              <w:spacing w:after="80"/>
              <w:ind w:firstLine="0"/>
              <w:jc w:val="center"/>
              <w:rPr>
                <w:b/>
              </w:rPr>
            </w:pPr>
            <w:r w:rsidRPr="00AB7CA1">
              <w:rPr>
                <w:b/>
              </w:rPr>
              <w:t>Primer antecedente</w:t>
            </w:r>
          </w:p>
        </w:tc>
      </w:tr>
      <w:tr w:rsidR="0098530D" w:rsidRPr="00AB7CA1" w14:paraId="435127B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373EF98" w14:textId="77777777" w:rsidR="0098530D" w:rsidRPr="00AB7CA1" w:rsidRDefault="0098530D" w:rsidP="00552502">
            <w:pPr>
              <w:pStyle w:val="Texto"/>
              <w:spacing w:after="80"/>
              <w:ind w:firstLine="0"/>
            </w:pPr>
            <w:r w:rsidRPr="00AB7CA1">
              <w:t>2012</w:t>
            </w:r>
          </w:p>
        </w:tc>
        <w:tc>
          <w:tcPr>
            <w:tcW w:w="3237" w:type="pct"/>
            <w:tcBorders>
              <w:top w:val="single" w:sz="6" w:space="0" w:color="auto"/>
              <w:left w:val="single" w:sz="6" w:space="0" w:color="auto"/>
              <w:bottom w:val="single" w:sz="6" w:space="0" w:color="auto"/>
              <w:right w:val="single" w:sz="6" w:space="0" w:color="auto"/>
            </w:tcBorders>
          </w:tcPr>
          <w:p w14:paraId="71BB8E5B" w14:textId="77777777" w:rsidR="0098530D" w:rsidRPr="00AB7CA1" w:rsidRDefault="0098530D" w:rsidP="00552502">
            <w:pPr>
              <w:pStyle w:val="Texto"/>
              <w:spacing w:after="80"/>
              <w:ind w:firstLine="0"/>
            </w:pPr>
            <w:r w:rsidRPr="00AB7CA1">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91/2012/ISR.</w:t>
            </w:r>
          </w:p>
        </w:tc>
      </w:tr>
    </w:tbl>
    <w:p w14:paraId="1B6DEF5A" w14:textId="77777777" w:rsidR="0098530D" w:rsidRPr="00AB7CA1" w:rsidRDefault="0098530D" w:rsidP="0098530D">
      <w:pPr>
        <w:pStyle w:val="Texto"/>
        <w:spacing w:after="80"/>
        <w:ind w:left="2736" w:hanging="1152"/>
        <w:rPr>
          <w:b/>
        </w:rPr>
      </w:pPr>
    </w:p>
    <w:p w14:paraId="63840EEF" w14:textId="77777777" w:rsidR="0098530D" w:rsidRPr="00AB7CA1" w:rsidRDefault="0098530D" w:rsidP="0098530D">
      <w:pPr>
        <w:pStyle w:val="Texto"/>
        <w:spacing w:after="80"/>
        <w:ind w:left="2736" w:hanging="1152"/>
        <w:rPr>
          <w:b/>
          <w:lang w:val="es-ES_tradnl"/>
        </w:rPr>
      </w:pPr>
      <w:r w:rsidRPr="00AB7CA1">
        <w:rPr>
          <w:b/>
        </w:rPr>
        <w:t>48/ISR/N</w:t>
      </w:r>
      <w:r w:rsidRPr="00AB7CA1">
        <w:rPr>
          <w:b/>
        </w:rPr>
        <w:tab/>
        <w:t>Operación de maquila para los efectos de la Ley del ISR. Alcance del concepto transformación.</w:t>
      </w:r>
    </w:p>
    <w:p w14:paraId="5C3DCC5A" w14:textId="77777777" w:rsidR="0098530D" w:rsidRPr="00AB7CA1" w:rsidRDefault="0098530D" w:rsidP="0098530D">
      <w:pPr>
        <w:pStyle w:val="Texto"/>
        <w:spacing w:after="80"/>
        <w:ind w:left="2736" w:hanging="1152"/>
        <w:rPr>
          <w:lang w:val="es-ES_tradnl"/>
        </w:rPr>
      </w:pPr>
      <w:r w:rsidRPr="00AB7CA1">
        <w:rPr>
          <w:b/>
          <w:lang w:val="es-ES_tradnl"/>
        </w:rPr>
        <w:tab/>
      </w:r>
      <w:r w:rsidRPr="00AB7CA1">
        <w:t>El artículo 181, segundo párrafo de la Ley del ISR, establece que para los efectos de dicho artículo se considera operación de maquila la que cumpla, entre otras condiciones con la establecida en la fracción I, primer párrafo de dicho artículo, consistente en que las mercancías a que se refiere dicha fracción que se sometan a un proceso de transformación o reparación, sean importadas temporalmente y se retornen al extranjero.</w:t>
      </w:r>
    </w:p>
    <w:p w14:paraId="49D57741" w14:textId="77777777" w:rsidR="0098530D" w:rsidRPr="00AB7CA1" w:rsidRDefault="0098530D" w:rsidP="0098530D">
      <w:pPr>
        <w:pStyle w:val="Texto"/>
        <w:spacing w:after="80"/>
        <w:ind w:left="2736" w:hanging="1152"/>
      </w:pPr>
      <w:r w:rsidRPr="00AB7CA1">
        <w:rPr>
          <w:lang w:val="es-ES_tradnl"/>
        </w:rPr>
        <w:tab/>
      </w:r>
      <w:r w:rsidRPr="00AB7CA1">
        <w:t>El tercer párrafo de la fracción citada establece que se considera como transformación, los procesos que se realicen con las mercancías consistentes en: la dilución en agua o en otras sustancias; el lavado o limpieza, incluyendo la remoción de óxido, grasa, pintura u otros recubrimientos; la aplicación de conservadores, incluyendo lubricantes, encapsulación protectora o pintura para conservación; el ajuste, limado o corte; el acondicionamiento en dosis; el empacado, reempacado, embalado o reembalado; el sometimiento a pruebas, y el marcado, etiquetado o clasificación, así como el desarrollo de un producto, excepto tratándose de marcas, avisos comerciales y nombres comerciales.</w:t>
      </w:r>
    </w:p>
    <w:p w14:paraId="1D4CDB4C" w14:textId="77777777" w:rsidR="0098530D" w:rsidRPr="00AB7CA1" w:rsidRDefault="0098530D" w:rsidP="0098530D">
      <w:pPr>
        <w:pStyle w:val="Texto"/>
        <w:spacing w:after="80"/>
        <w:ind w:left="2736" w:hanging="1152"/>
        <w:rPr>
          <w:lang w:val="es-ES_tradnl"/>
        </w:rPr>
      </w:pPr>
      <w:r w:rsidRPr="00AB7CA1">
        <w:tab/>
        <w:t>Del análisis a dicho párrafo se desprende que el mismo señala que tales procesos se estiman procesos de transformación; es decir, son adicionales al proceso de transformación industrial considerado en sí mismo a que se refiere el primer párrafo de la fracción analizada.</w:t>
      </w:r>
    </w:p>
    <w:p w14:paraId="2885AE8E" w14:textId="77777777" w:rsidR="0098530D" w:rsidRPr="00AB7CA1" w:rsidRDefault="0098530D" w:rsidP="0098530D">
      <w:pPr>
        <w:pStyle w:val="Texto"/>
        <w:spacing w:after="80"/>
        <w:ind w:left="2736" w:hanging="1152"/>
      </w:pPr>
      <w:r w:rsidRPr="00AB7CA1">
        <w:rPr>
          <w:lang w:val="es-ES_tradnl"/>
        </w:rPr>
        <w:tab/>
      </w:r>
      <w:r w:rsidRPr="00AB7CA1">
        <w:t>Por tanto, el concepto transformación a que se refiere el artículo 181, segundo párrafo, fracción I de la Ley del ISR, comprende el proceso mediante el cual un insumo se modifica, altera, cambia de forma o se incorpora a otro insumo, así como los procesos establecidos en el tercer párrafo de dicha fracción.</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FB2477" w14:paraId="6B5C10F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B863D0D" w14:textId="77777777" w:rsidR="0098530D" w:rsidRPr="00FB2477" w:rsidRDefault="0098530D" w:rsidP="00552502">
            <w:pPr>
              <w:pStyle w:val="Texto"/>
              <w:spacing w:after="80"/>
              <w:ind w:firstLine="0"/>
              <w:jc w:val="center"/>
              <w:rPr>
                <w:b/>
              </w:rPr>
            </w:pPr>
            <w:r w:rsidRPr="00FB2477">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7E0EFCB" w14:textId="77777777" w:rsidR="0098530D" w:rsidRPr="00FB2477" w:rsidRDefault="0098530D" w:rsidP="00552502">
            <w:pPr>
              <w:pStyle w:val="Texto"/>
              <w:spacing w:after="80"/>
              <w:ind w:firstLine="0"/>
              <w:jc w:val="center"/>
              <w:rPr>
                <w:b/>
              </w:rPr>
            </w:pPr>
            <w:r w:rsidRPr="00FB2477">
              <w:rPr>
                <w:b/>
              </w:rPr>
              <w:t>Primer antecedente</w:t>
            </w:r>
          </w:p>
        </w:tc>
      </w:tr>
      <w:tr w:rsidR="0098530D" w:rsidRPr="00AB7CA1" w14:paraId="5D68F1D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602D15B" w14:textId="77777777" w:rsidR="0098530D" w:rsidRPr="00AB7CA1" w:rsidRDefault="0098530D" w:rsidP="00552502">
            <w:pPr>
              <w:pStyle w:val="Texto"/>
              <w:spacing w:after="80"/>
              <w:ind w:firstLine="0"/>
            </w:pPr>
            <w:r w:rsidRPr="00AB7CA1">
              <w:t>2012</w:t>
            </w:r>
          </w:p>
        </w:tc>
        <w:tc>
          <w:tcPr>
            <w:tcW w:w="3237" w:type="pct"/>
            <w:tcBorders>
              <w:top w:val="single" w:sz="6" w:space="0" w:color="auto"/>
              <w:left w:val="single" w:sz="6" w:space="0" w:color="auto"/>
              <w:bottom w:val="single" w:sz="6" w:space="0" w:color="auto"/>
              <w:right w:val="single" w:sz="6" w:space="0" w:color="auto"/>
            </w:tcBorders>
          </w:tcPr>
          <w:p w14:paraId="752667CC" w14:textId="77777777" w:rsidR="0098530D" w:rsidRPr="00AB7CA1" w:rsidRDefault="0098530D" w:rsidP="00552502">
            <w:pPr>
              <w:pStyle w:val="Texto"/>
              <w:spacing w:after="80"/>
              <w:ind w:firstLine="0"/>
            </w:pPr>
            <w:r w:rsidRPr="00AB7CA1">
              <w:t xml:space="preserve">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92/2012/ISR. </w:t>
            </w:r>
          </w:p>
        </w:tc>
      </w:tr>
    </w:tbl>
    <w:p w14:paraId="1E12EBAC" w14:textId="77777777" w:rsidR="0098530D" w:rsidRPr="00AB7CA1" w:rsidRDefault="0098530D" w:rsidP="0098530D">
      <w:pPr>
        <w:pStyle w:val="Texto"/>
        <w:spacing w:after="80"/>
        <w:rPr>
          <w:b/>
        </w:rPr>
      </w:pPr>
    </w:p>
    <w:p w14:paraId="56E7F728" w14:textId="77777777" w:rsidR="0098530D" w:rsidRPr="00AB7CA1" w:rsidRDefault="0098530D" w:rsidP="0098530D">
      <w:pPr>
        <w:pStyle w:val="Texto"/>
        <w:spacing w:after="80"/>
        <w:ind w:left="2736" w:hanging="1152"/>
        <w:rPr>
          <w:b/>
        </w:rPr>
      </w:pPr>
      <w:r w:rsidRPr="00AB7CA1">
        <w:rPr>
          <w:b/>
        </w:rPr>
        <w:t>49/ISR/N</w:t>
      </w:r>
      <w:r w:rsidRPr="00AB7CA1">
        <w:rPr>
          <w:b/>
        </w:rPr>
        <w:tab/>
      </w:r>
      <w:r w:rsidRPr="00AB7CA1">
        <w:rPr>
          <w:b/>
          <w:lang w:val="es-ES_tradnl"/>
        </w:rPr>
        <w:t>Operación de maquila para los efectos de la Ley del ISR. Mercancías con las que deben realizarse los procesos de transformación o reparación</w:t>
      </w:r>
      <w:r w:rsidRPr="00AB7CA1">
        <w:rPr>
          <w:lang w:val="es-ES_tradnl"/>
        </w:rPr>
        <w:t>.</w:t>
      </w:r>
    </w:p>
    <w:p w14:paraId="1C0192EC" w14:textId="77777777" w:rsidR="0098530D" w:rsidRPr="00AB7CA1" w:rsidRDefault="0098530D" w:rsidP="0098530D">
      <w:pPr>
        <w:pStyle w:val="Texto"/>
        <w:spacing w:after="80"/>
        <w:ind w:left="2736" w:hanging="1152"/>
      </w:pPr>
      <w:r w:rsidRPr="00AB7CA1">
        <w:rPr>
          <w:b/>
        </w:rPr>
        <w:tab/>
      </w:r>
      <w:r w:rsidRPr="00AB7CA1">
        <w:t>El artículo 181, segundo párrafo, fracción IV de la Ley del ISR establece que la operación de maquila debe cumplir, entre otras condiciones, el que los procesos de transformación o reparación se realicen con maquinaria y equipo propiedad del residente en el extranjero con el que las empresas con Programa de Maquila autorizado por la Secretaría de Economía tengan celebrado el contrato de maquila.</w:t>
      </w:r>
    </w:p>
    <w:p w14:paraId="036E35F7" w14:textId="77777777" w:rsidR="0098530D" w:rsidRPr="00AB7CA1" w:rsidRDefault="0098530D" w:rsidP="0098530D">
      <w:pPr>
        <w:pStyle w:val="Texto"/>
        <w:spacing w:after="80"/>
        <w:ind w:left="2736" w:hanging="1152"/>
        <w:rPr>
          <w:lang w:val="es-ES_tradnl"/>
        </w:rPr>
      </w:pPr>
      <w:r w:rsidRPr="00AB7CA1">
        <w:tab/>
        <w:t>Para llevar a cabo los procesos de operación de manufactura, el artículo 4, fracción III, inciso a) del Decreto para la Industria Manufacturera Maquiladora y de Servicios de Exportación, publicado en el DOF el 1 de noviembre de 2006, refiere una lista de mercancías que las empresas con dicho programa pueden importar temporalmente para llevar a cabo los procesos referidos. Dentro de dicha lista se encuentran, además de maquinaria y equipo, las siguientes mercancías: herramientas, instrumentos, moldes y refacciones destinadas al proceso productivo.</w:t>
      </w:r>
    </w:p>
    <w:p w14:paraId="3618EA1F" w14:textId="77777777" w:rsidR="0098530D" w:rsidRPr="00AB7CA1" w:rsidRDefault="0098530D" w:rsidP="0098530D">
      <w:pPr>
        <w:pStyle w:val="Texto"/>
        <w:spacing w:after="80"/>
        <w:ind w:left="2736" w:hanging="1152"/>
      </w:pPr>
      <w:r w:rsidRPr="00AB7CA1">
        <w:rPr>
          <w:lang w:val="es-ES_tradnl"/>
        </w:rPr>
        <w:tab/>
      </w:r>
      <w:r w:rsidRPr="00AB7CA1">
        <w:t xml:space="preserve">Por lo tanto, la maquinaria y equipo previstos en el artículo 181, segundo párrafo, fracción IV de la Ley del ISR no comprenden herramientas, </w:t>
      </w:r>
      <w:r w:rsidRPr="00AB7CA1">
        <w:lastRenderedPageBreak/>
        <w:t>instrumentos, moldes y refacciones destinadas al proceso productivo, a que se refiere el artículo 4, fracción III, inciso a) del Decreto antes referido.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A379698"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74DA733C" w14:textId="77777777" w:rsidR="0098530D" w:rsidRPr="00AB7CA1" w:rsidRDefault="0098530D" w:rsidP="00552502">
            <w:pPr>
              <w:pStyle w:val="Texto"/>
              <w:spacing w:after="80"/>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7B83CC0A" w14:textId="77777777" w:rsidR="0098530D" w:rsidRPr="00AB7CA1" w:rsidRDefault="0098530D" w:rsidP="00552502">
            <w:pPr>
              <w:pStyle w:val="Texto"/>
              <w:spacing w:after="80"/>
              <w:ind w:firstLine="0"/>
              <w:jc w:val="center"/>
              <w:rPr>
                <w:b/>
              </w:rPr>
            </w:pPr>
            <w:r w:rsidRPr="00AB7CA1">
              <w:rPr>
                <w:b/>
              </w:rPr>
              <w:t>Primer antecedente</w:t>
            </w:r>
          </w:p>
        </w:tc>
      </w:tr>
      <w:tr w:rsidR="0098530D" w:rsidRPr="00AB7CA1" w14:paraId="7BCCF27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198FB8C" w14:textId="77777777" w:rsidR="0098530D" w:rsidRPr="00AB7CA1" w:rsidRDefault="0098530D" w:rsidP="00552502">
            <w:pPr>
              <w:pStyle w:val="Texto"/>
              <w:spacing w:after="80"/>
              <w:ind w:firstLine="0"/>
            </w:pPr>
            <w:r w:rsidRPr="00AB7CA1">
              <w:t>2012</w:t>
            </w:r>
          </w:p>
        </w:tc>
        <w:tc>
          <w:tcPr>
            <w:tcW w:w="3237" w:type="pct"/>
            <w:tcBorders>
              <w:top w:val="single" w:sz="6" w:space="0" w:color="auto"/>
              <w:left w:val="single" w:sz="6" w:space="0" w:color="auto"/>
              <w:bottom w:val="single" w:sz="6" w:space="0" w:color="auto"/>
              <w:right w:val="single" w:sz="6" w:space="0" w:color="auto"/>
            </w:tcBorders>
          </w:tcPr>
          <w:p w14:paraId="34F6D16C" w14:textId="77777777" w:rsidR="0098530D" w:rsidRPr="00AB7CA1" w:rsidRDefault="0098530D" w:rsidP="00552502">
            <w:pPr>
              <w:pStyle w:val="Texto"/>
              <w:spacing w:after="80"/>
              <w:ind w:firstLine="0"/>
            </w:pPr>
            <w:r w:rsidRPr="00AB7CA1">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93/2012/ISR.</w:t>
            </w:r>
          </w:p>
        </w:tc>
      </w:tr>
    </w:tbl>
    <w:p w14:paraId="007F0EC9" w14:textId="77777777" w:rsidR="0098530D" w:rsidRPr="00AB7CA1" w:rsidRDefault="0098530D" w:rsidP="0098530D">
      <w:pPr>
        <w:pStyle w:val="Texto"/>
        <w:spacing w:line="228" w:lineRule="exact"/>
        <w:ind w:left="2736" w:hanging="1152"/>
        <w:rPr>
          <w:b/>
        </w:rPr>
      </w:pPr>
      <w:r w:rsidRPr="00AB7CA1">
        <w:rPr>
          <w:b/>
        </w:rPr>
        <w:t>50/ISR/N</w:t>
      </w:r>
      <w:r w:rsidRPr="00AB7CA1">
        <w:rPr>
          <w:b/>
        </w:rPr>
        <w:tab/>
        <w:t>Operación de maquila para los efectos del Decreto IMMEX. Porcentaje de la maquinaria y equipo que se utiliza.</w:t>
      </w:r>
    </w:p>
    <w:p w14:paraId="2566EE31" w14:textId="77777777" w:rsidR="0098530D" w:rsidRPr="00AB7CA1" w:rsidRDefault="0098530D" w:rsidP="0098530D">
      <w:pPr>
        <w:pStyle w:val="Texto"/>
        <w:spacing w:line="228" w:lineRule="exact"/>
        <w:ind w:left="2736" w:hanging="1152"/>
      </w:pPr>
      <w:r w:rsidRPr="00AB7CA1">
        <w:rPr>
          <w:b/>
        </w:rPr>
        <w:tab/>
      </w:r>
      <w:r w:rsidRPr="00AB7CA1">
        <w:t>El artículo segundo, primer párrafo del Decreto que otorga estímulos fiscales a la industria manufacturera, maquiladora y de servicios de exportación, publicado en el DOF el 26 de diciembre de 2013, dispone que los contribuyentes que al 31 de diciembre de 2009 cumplieron con sus obligaciones en materia del ISR, de conformidad con el artículo 216 Bis de la Ley del ISR, vigente hasta el 31 de diciembre de 2013, tendrán un plazo de dos años contados a partir de la entrada en vigor del Decreto referido, es decir, el 1 de enero de 2016, para que, cuando menos, el 30% de la maquinaria y equipo utilizados en la operación de maquila a que se refiere el artículo 181, fracción IV, primer párrafo de la Ley del ISR, vigente a partir del 1 de enero de 2014, sea propiedad del residente en el extranjero con el que se tenga celebrado el contrato de maquila y que no haya sido propiedad de la empresa residente en México que realiza la operación de maquila o de alguna parte relacionada de esta.</w:t>
      </w:r>
    </w:p>
    <w:p w14:paraId="78CC97FA" w14:textId="77777777" w:rsidR="0098530D" w:rsidRPr="00AB7CA1" w:rsidRDefault="0098530D" w:rsidP="0098530D">
      <w:pPr>
        <w:pStyle w:val="Texto"/>
        <w:spacing w:line="228" w:lineRule="exact"/>
        <w:ind w:left="2736" w:hanging="1152"/>
      </w:pPr>
      <w:r w:rsidRPr="00AB7CA1">
        <w:tab/>
        <w:t>En este sentido, el artículo segundo, primer párrafo del Decreto analizado no condiciona a que el 70% restante de la maquinaria y equipo utilizados en dicha operación de maquila deba ser propiedad del residente en el extranjero con el que se tenga celebrado el contrato de maquila ni que dicha maquinaria y equipo haya sido propiedad de la empresa residente en México que realiza la operación de maquila o de alguna parte relacionada de esta.</w:t>
      </w:r>
    </w:p>
    <w:p w14:paraId="5BEF56C7" w14:textId="77777777" w:rsidR="0098530D" w:rsidRPr="00AB7CA1" w:rsidRDefault="0098530D" w:rsidP="0098530D">
      <w:pPr>
        <w:pStyle w:val="Texto"/>
        <w:spacing w:line="228" w:lineRule="exact"/>
        <w:ind w:left="2736" w:hanging="1152"/>
      </w:pPr>
      <w:r w:rsidRPr="00AB7CA1">
        <w:tab/>
        <w:t>Por lo tanto, de conformidad con el referido artículo segundo, primer párrafo, el 70% restante de la maquinaria y equipo utilizados en la operación de maquila de los contribuyentes que al 31 de diciembre de 2009 cumplieron con sus obligaciones en materia del ISR de conformidad con el artículo 216 Bis de la Ley del ISR, vigente hasta el 31 de diciembre de 2013, puede o no ser de su propiedad; de sus partes relacionadas o independientes; del residente en el extranjero con el que se tenga celebrado el contrato de maquila; o de las partes relacionadas o independientes de dicho residente.</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33B8096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07E109C1" w14:textId="77777777" w:rsidR="0098530D" w:rsidRPr="00AB7CA1" w:rsidRDefault="0098530D" w:rsidP="00552502">
            <w:pPr>
              <w:pStyle w:val="Texto"/>
              <w:spacing w:line="228"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F3FF572" w14:textId="77777777" w:rsidR="0098530D" w:rsidRPr="00AB7CA1" w:rsidRDefault="0098530D" w:rsidP="00552502">
            <w:pPr>
              <w:pStyle w:val="Texto"/>
              <w:spacing w:line="228" w:lineRule="exact"/>
              <w:ind w:firstLine="0"/>
              <w:jc w:val="center"/>
              <w:rPr>
                <w:b/>
              </w:rPr>
            </w:pPr>
            <w:r w:rsidRPr="00AB7CA1">
              <w:rPr>
                <w:b/>
              </w:rPr>
              <w:t>Primer antecedente</w:t>
            </w:r>
          </w:p>
        </w:tc>
      </w:tr>
      <w:tr w:rsidR="0098530D" w:rsidRPr="00AB7CA1" w14:paraId="7233F8F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64E93D5" w14:textId="77777777" w:rsidR="0098530D" w:rsidRPr="00AB7CA1" w:rsidRDefault="0098530D" w:rsidP="00552502">
            <w:pPr>
              <w:pStyle w:val="Texto"/>
              <w:spacing w:line="228" w:lineRule="exact"/>
              <w:ind w:firstLine="0"/>
            </w:pPr>
            <w:r w:rsidRPr="00AB7CA1">
              <w:t>2014</w:t>
            </w:r>
          </w:p>
        </w:tc>
        <w:tc>
          <w:tcPr>
            <w:tcW w:w="3237" w:type="pct"/>
            <w:tcBorders>
              <w:top w:val="single" w:sz="6" w:space="0" w:color="auto"/>
              <w:left w:val="single" w:sz="6" w:space="0" w:color="auto"/>
              <w:bottom w:val="single" w:sz="6" w:space="0" w:color="auto"/>
              <w:right w:val="single" w:sz="6" w:space="0" w:color="auto"/>
            </w:tcBorders>
          </w:tcPr>
          <w:p w14:paraId="7F8A282B" w14:textId="77777777" w:rsidR="0098530D" w:rsidRPr="00AB7CA1" w:rsidRDefault="0098530D" w:rsidP="00552502">
            <w:pPr>
              <w:pStyle w:val="Texto"/>
              <w:spacing w:line="228" w:lineRule="exact"/>
              <w:ind w:firstLine="0"/>
            </w:pPr>
            <w:r w:rsidRPr="00AB7CA1">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60/2014/ISR.</w:t>
            </w:r>
          </w:p>
        </w:tc>
      </w:tr>
    </w:tbl>
    <w:p w14:paraId="4EE446BF" w14:textId="77777777" w:rsidR="0098530D" w:rsidRPr="00AB7CA1" w:rsidRDefault="0098530D" w:rsidP="0098530D">
      <w:pPr>
        <w:pStyle w:val="Texto"/>
        <w:spacing w:line="228" w:lineRule="exact"/>
        <w:ind w:left="2736" w:hanging="1152"/>
        <w:rPr>
          <w:b/>
        </w:rPr>
      </w:pPr>
    </w:p>
    <w:p w14:paraId="267AEDD2" w14:textId="77777777" w:rsidR="0098530D" w:rsidRPr="00AB7CA1" w:rsidRDefault="0098530D" w:rsidP="0098530D">
      <w:pPr>
        <w:pStyle w:val="Texto"/>
        <w:spacing w:line="228" w:lineRule="exact"/>
        <w:ind w:left="2736" w:hanging="1152"/>
        <w:rPr>
          <w:b/>
        </w:rPr>
      </w:pPr>
      <w:r w:rsidRPr="00AB7CA1">
        <w:rPr>
          <w:b/>
        </w:rPr>
        <w:t>51/ISR/N</w:t>
      </w:r>
      <w:r w:rsidRPr="00AB7CA1">
        <w:rPr>
          <w:b/>
        </w:rPr>
        <w:tab/>
        <w:t>Actualización. No se considera ingreso acumulable para efectos del cálculo del ISR.</w:t>
      </w:r>
    </w:p>
    <w:p w14:paraId="5502625C" w14:textId="77777777" w:rsidR="0098530D" w:rsidRPr="00AB7CA1" w:rsidRDefault="0098530D" w:rsidP="0098530D">
      <w:pPr>
        <w:pStyle w:val="Texto"/>
        <w:spacing w:line="228" w:lineRule="exact"/>
        <w:ind w:left="2736" w:hanging="1152"/>
      </w:pPr>
      <w:r w:rsidRPr="00AB7CA1">
        <w:rPr>
          <w:b/>
        </w:rPr>
        <w:lastRenderedPageBreak/>
        <w:tab/>
      </w:r>
      <w:r w:rsidRPr="00AB7CA1">
        <w:t>Conforme al artículo 17-A del CFF la actualización tiene como finalidad el reconocimiento de los efectos que los valores sufren por el transcurso del tiempo y por los cambios de precios en el país.</w:t>
      </w:r>
    </w:p>
    <w:p w14:paraId="578451CA" w14:textId="77777777" w:rsidR="0098530D" w:rsidRPr="00AB7CA1" w:rsidRDefault="0098530D" w:rsidP="0098530D">
      <w:pPr>
        <w:pStyle w:val="Texto"/>
        <w:spacing w:line="228" w:lineRule="exact"/>
        <w:ind w:left="2736" w:hanging="1152"/>
      </w:pPr>
      <w:r w:rsidRPr="00AB7CA1">
        <w:tab/>
        <w:t>En consecuencia, el monto de la actualización correspondiente a las devoluciones, aprovechamientos y compensación de saldos a favor del contribuyente y a cargo del fisco federal, no debe considerarse como ingreso acumulable para efectos del cálculo del ISR.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5859D78"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0A42A194" w14:textId="77777777" w:rsidR="0098530D" w:rsidRPr="00AB7CA1" w:rsidRDefault="0098530D" w:rsidP="00552502">
            <w:pPr>
              <w:pStyle w:val="Texto"/>
              <w:spacing w:line="228"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93D7386" w14:textId="77777777" w:rsidR="0098530D" w:rsidRPr="00AB7CA1" w:rsidRDefault="0098530D" w:rsidP="00552502">
            <w:pPr>
              <w:pStyle w:val="Texto"/>
              <w:spacing w:line="228" w:lineRule="exact"/>
              <w:ind w:firstLine="0"/>
              <w:jc w:val="center"/>
              <w:rPr>
                <w:b/>
              </w:rPr>
            </w:pPr>
            <w:r w:rsidRPr="00AB7CA1">
              <w:rPr>
                <w:b/>
              </w:rPr>
              <w:t>Primer antecedente</w:t>
            </w:r>
          </w:p>
        </w:tc>
      </w:tr>
      <w:tr w:rsidR="0098530D" w:rsidRPr="00AB7CA1" w14:paraId="1D881E1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1F6CA80" w14:textId="77777777" w:rsidR="0098530D" w:rsidRPr="00AB7CA1" w:rsidRDefault="0098530D" w:rsidP="00552502">
            <w:pPr>
              <w:pStyle w:val="Texto"/>
              <w:spacing w:line="228" w:lineRule="exact"/>
              <w:ind w:firstLine="0"/>
            </w:pPr>
            <w:r w:rsidRPr="00AB7CA1">
              <w:t>2.1.2.</w:t>
            </w:r>
          </w:p>
        </w:tc>
        <w:tc>
          <w:tcPr>
            <w:tcW w:w="3237" w:type="pct"/>
            <w:tcBorders>
              <w:top w:val="single" w:sz="6" w:space="0" w:color="auto"/>
              <w:left w:val="single" w:sz="6" w:space="0" w:color="auto"/>
              <w:bottom w:val="single" w:sz="6" w:space="0" w:color="auto"/>
              <w:right w:val="single" w:sz="6" w:space="0" w:color="auto"/>
            </w:tcBorders>
          </w:tcPr>
          <w:p w14:paraId="23C37C66" w14:textId="77777777" w:rsidR="0098530D" w:rsidRPr="00AB7CA1" w:rsidRDefault="0098530D" w:rsidP="00552502">
            <w:pPr>
              <w:pStyle w:val="Texto"/>
              <w:spacing w:line="228" w:lineRule="exact"/>
              <w:ind w:firstLine="0"/>
            </w:pPr>
            <w:r w:rsidRPr="00AB7CA1">
              <w:t>Oficio 325-SAT-IV-C-7363 de 23 de septiembre de 1997.</w:t>
            </w:r>
          </w:p>
        </w:tc>
      </w:tr>
    </w:tbl>
    <w:p w14:paraId="09F7F5D6" w14:textId="77777777" w:rsidR="0098530D" w:rsidRPr="00AB7CA1" w:rsidRDefault="0098530D" w:rsidP="0098530D">
      <w:pPr>
        <w:pStyle w:val="Texto"/>
        <w:spacing w:after="80" w:line="209" w:lineRule="exact"/>
        <w:ind w:left="2736" w:hanging="1152"/>
        <w:rPr>
          <w:b/>
          <w:lang w:val="es-ES_tradnl"/>
        </w:rPr>
      </w:pPr>
      <w:r w:rsidRPr="00AB7CA1">
        <w:rPr>
          <w:b/>
        </w:rPr>
        <w:t>52</w:t>
      </w:r>
      <w:r w:rsidRPr="00AB7CA1">
        <w:rPr>
          <w:b/>
          <w:lang w:val="es-ES_tradnl"/>
        </w:rPr>
        <w:t>/ISR/IETU/N Acreditamiento del ISR contra el IETU a solicitud del contribuyente, cuando existan resoluciones determinantes.</w:t>
      </w:r>
    </w:p>
    <w:p w14:paraId="089EC82B" w14:textId="77777777" w:rsidR="0098530D" w:rsidRPr="00AB7CA1" w:rsidRDefault="0098530D" w:rsidP="0098530D">
      <w:pPr>
        <w:pStyle w:val="Texto"/>
        <w:spacing w:after="80" w:line="209" w:lineRule="exact"/>
        <w:ind w:left="2736" w:hanging="1152"/>
      </w:pPr>
      <w:r w:rsidRPr="00AB7CA1">
        <w:rPr>
          <w:b/>
          <w:lang w:val="es-ES_tradnl"/>
        </w:rPr>
        <w:tab/>
      </w:r>
      <w:r w:rsidRPr="00AB7CA1">
        <w:rPr>
          <w:lang w:val="es-ES_tradnl"/>
        </w:rPr>
        <w:t xml:space="preserve">El artículo 8, primero, segundo y quinto párrafos de la Ley del IETU, vigente hasta el 31 de diciembre de 2013, establece que </w:t>
      </w:r>
      <w:r w:rsidRPr="00AB7CA1">
        <w:t>los contribuyentes podrán acreditar contra el IETU del ejercicio, una cantidad equivalente al ISR propio del mismo ejercicio, el cual se haya efectivamente pagado.</w:t>
      </w:r>
    </w:p>
    <w:p w14:paraId="4E71E0A7" w14:textId="77777777" w:rsidR="0098530D" w:rsidRPr="00AB7CA1" w:rsidRDefault="0098530D" w:rsidP="0098530D">
      <w:pPr>
        <w:pStyle w:val="Texto"/>
        <w:spacing w:after="80" w:line="209" w:lineRule="exact"/>
        <w:ind w:left="2736" w:hanging="1152"/>
      </w:pPr>
      <w:r w:rsidRPr="00AB7CA1">
        <w:tab/>
        <w:t>Por ende, si derivado de las facultades de comprobación de la autoridad, se observa la omisión de pago del ISR, resulta legal la determinación de dicho impuesto, así como el IETU, sin efectuar el acreditamiento previsto en el precepto legal en comento, atendiendo a que este procede sobre el ISR efectivamente pagado.</w:t>
      </w:r>
    </w:p>
    <w:p w14:paraId="01C44801" w14:textId="77777777" w:rsidR="0098530D" w:rsidRPr="00AB7CA1" w:rsidRDefault="0098530D" w:rsidP="0098530D">
      <w:pPr>
        <w:pStyle w:val="Texto"/>
        <w:spacing w:after="80" w:line="209" w:lineRule="exact"/>
        <w:ind w:left="2736" w:hanging="1152"/>
        <w:rPr>
          <w:lang w:val="es-ES_tradnl"/>
        </w:rPr>
      </w:pPr>
      <w:r w:rsidRPr="00AB7CA1">
        <w:tab/>
        <w:t>Al respecto, se precisa que e</w:t>
      </w:r>
      <w:r w:rsidRPr="00AB7CA1">
        <w:rPr>
          <w:lang w:val="es-ES_tradnl"/>
        </w:rPr>
        <w:t>l IETU como impuesto complementario sólo debe ser pagado en casos, en que por cualquier motivo, no se pague el ISR o se pague una cantidad menor que el IETU a cargo, por lo cual cuando el contribuyente no hubiere acreditado el ISR efectivamente pagado, se considera que este no pierde el derecho de acreditarlo contra el IETU determinado a su cargo.</w:t>
      </w:r>
    </w:p>
    <w:p w14:paraId="620AFFF7" w14:textId="77777777" w:rsidR="0098530D" w:rsidRPr="00AB7CA1" w:rsidRDefault="0098530D" w:rsidP="0098530D">
      <w:pPr>
        <w:pStyle w:val="Texto"/>
        <w:spacing w:after="80" w:line="209" w:lineRule="exact"/>
        <w:ind w:left="2736" w:hanging="1152"/>
      </w:pPr>
      <w:r w:rsidRPr="00AB7CA1">
        <w:rPr>
          <w:lang w:val="es-ES_tradnl"/>
        </w:rPr>
        <w:tab/>
      </w:r>
      <w:r w:rsidRPr="00AB7CA1">
        <w:t>Por lo anterior, se considera que cuando existan resoluciones determinantes por la omisión en el pago del ISR e IETU, la autoridad ejecutora podrá efectuar el acreditamiento del ISR efectivamente pagado contra el IETU a solicitud del contribuyente.</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307E007"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B0A8A03" w14:textId="77777777" w:rsidR="0098530D" w:rsidRPr="00AB7CA1" w:rsidRDefault="0098530D" w:rsidP="00552502">
            <w:pPr>
              <w:pStyle w:val="Texto"/>
              <w:spacing w:after="80" w:line="209"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E5D796B" w14:textId="77777777" w:rsidR="0098530D" w:rsidRPr="00AB7CA1" w:rsidRDefault="0098530D" w:rsidP="00552502">
            <w:pPr>
              <w:pStyle w:val="Texto"/>
              <w:spacing w:after="80" w:line="209" w:lineRule="exact"/>
              <w:ind w:firstLine="0"/>
              <w:jc w:val="center"/>
              <w:rPr>
                <w:b/>
              </w:rPr>
            </w:pPr>
            <w:r w:rsidRPr="00AB7CA1">
              <w:rPr>
                <w:b/>
              </w:rPr>
              <w:t>Primer antecedente</w:t>
            </w:r>
          </w:p>
        </w:tc>
      </w:tr>
      <w:tr w:rsidR="0098530D" w:rsidRPr="00AB7CA1" w14:paraId="66F368A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02A4470" w14:textId="77777777" w:rsidR="0098530D" w:rsidRPr="00AB7CA1" w:rsidRDefault="0098530D" w:rsidP="00552502">
            <w:pPr>
              <w:pStyle w:val="Texto"/>
              <w:spacing w:after="80" w:line="209" w:lineRule="exact"/>
              <w:ind w:firstLine="0"/>
            </w:pPr>
            <w:r w:rsidRPr="00AB7CA1">
              <w:t>Quinta Resolución de Modificaciones a la RMF para 2015</w:t>
            </w:r>
          </w:p>
        </w:tc>
        <w:tc>
          <w:tcPr>
            <w:tcW w:w="3237" w:type="pct"/>
            <w:tcBorders>
              <w:top w:val="single" w:sz="6" w:space="0" w:color="auto"/>
              <w:left w:val="single" w:sz="6" w:space="0" w:color="auto"/>
              <w:bottom w:val="single" w:sz="6" w:space="0" w:color="auto"/>
              <w:right w:val="single" w:sz="6" w:space="0" w:color="auto"/>
            </w:tcBorders>
          </w:tcPr>
          <w:p w14:paraId="709032A2" w14:textId="77777777" w:rsidR="0098530D" w:rsidRPr="00AB7CA1" w:rsidRDefault="0098530D" w:rsidP="00552502">
            <w:pPr>
              <w:pStyle w:val="Texto"/>
              <w:spacing w:after="80" w:line="209" w:lineRule="exact"/>
              <w:ind w:firstLine="0"/>
            </w:pPr>
            <w:r w:rsidRPr="00AB7CA1">
              <w:t>Publicada en el DOF el 19 de noviembre de 2015, Anexo 7, publicado en el DOF el 20 de noviembre de 2015.</w:t>
            </w:r>
          </w:p>
        </w:tc>
      </w:tr>
    </w:tbl>
    <w:p w14:paraId="230314B5" w14:textId="77777777" w:rsidR="0098530D" w:rsidRPr="00AB7CA1" w:rsidRDefault="0098530D" w:rsidP="0098530D">
      <w:pPr>
        <w:pStyle w:val="Texto"/>
        <w:spacing w:after="80" w:line="209" w:lineRule="exact"/>
        <w:ind w:left="2736" w:hanging="1152"/>
      </w:pPr>
    </w:p>
    <w:p w14:paraId="483E1A27" w14:textId="77777777" w:rsidR="0098530D" w:rsidRPr="00AB7CA1" w:rsidRDefault="0098530D" w:rsidP="0098530D">
      <w:pPr>
        <w:pStyle w:val="Texto"/>
        <w:spacing w:after="80" w:line="210" w:lineRule="exact"/>
        <w:ind w:left="2736" w:hanging="1152"/>
        <w:rPr>
          <w:b/>
        </w:rPr>
      </w:pPr>
      <w:r w:rsidRPr="00AB7CA1">
        <w:rPr>
          <w:b/>
        </w:rPr>
        <w:t>53/ISR/N</w:t>
      </w:r>
      <w:r w:rsidRPr="00AB7CA1">
        <w:rPr>
          <w:b/>
        </w:rPr>
        <w:tab/>
        <w:t>Momento en que se considera percibido un dividendo o utilidad distribuido mediante la entrega de acciones de la misma persona moral para fines de la acumulación a los demás ingresos de las personas físicas y la aplicación del impuesto adicional del 10%.</w:t>
      </w:r>
    </w:p>
    <w:p w14:paraId="117E1F11" w14:textId="77777777" w:rsidR="0098530D" w:rsidRPr="00AB7CA1" w:rsidRDefault="0098530D" w:rsidP="0098530D">
      <w:pPr>
        <w:pStyle w:val="Texto"/>
        <w:spacing w:after="80" w:line="210" w:lineRule="exact"/>
        <w:ind w:left="2736" w:hanging="1152"/>
      </w:pPr>
      <w:r w:rsidRPr="00AB7CA1">
        <w:rPr>
          <w:b/>
        </w:rPr>
        <w:tab/>
      </w:r>
      <w:r w:rsidRPr="00AB7CA1">
        <w:t>El artículo 10, segundo párrafo de la Ley del ISR, señala que tratándose de la distribución de dividendos o utilidades mediante el aumento de partes sociales o la entrega de acciones de la misma persona moral o cuando se reinviertan en la suscripción y pago del aumento de capital de la misma persona dentro de los treinta días naturales siguientes a su distribución, el dividendo o la utilidad se entenderá percibido en el año de calendario en el que se pague el reembolso por reducción de capital o por liquidación de la persona moral de que se trate, en los términos del artículo 78 de dicha Ley.</w:t>
      </w:r>
    </w:p>
    <w:p w14:paraId="2E7A7AEF" w14:textId="77777777" w:rsidR="0098530D" w:rsidRPr="00AB7CA1" w:rsidRDefault="0098530D" w:rsidP="0098530D">
      <w:pPr>
        <w:pStyle w:val="Texto"/>
        <w:spacing w:after="80" w:line="210" w:lineRule="exact"/>
        <w:ind w:left="2736" w:hanging="1152"/>
      </w:pPr>
      <w:r w:rsidRPr="00AB7CA1">
        <w:tab/>
        <w:t>Por su parte, el artículo 140, primer párrafo de la Ley del ISR establece que las personas físicas residentes en México deberán acumular a sus demás ingresos, los percibidos por dividendos o utilidades distribuidos por personas morales residentes en México.</w:t>
      </w:r>
    </w:p>
    <w:p w14:paraId="2BCAFFA9" w14:textId="77777777" w:rsidR="0098530D" w:rsidRPr="00AB7CA1" w:rsidRDefault="0098530D" w:rsidP="0098530D">
      <w:pPr>
        <w:pStyle w:val="Texto"/>
        <w:spacing w:after="80" w:line="210" w:lineRule="exact"/>
        <w:ind w:left="2736" w:hanging="1152"/>
      </w:pPr>
      <w:r w:rsidRPr="00AB7CA1">
        <w:tab/>
        <w:t xml:space="preserve">Adicionalmente, el segundo párrafo de dicho artículo establece un impuesto adicional del 10% que deberá ser retenido por la persona moral residente en </w:t>
      </w:r>
      <w:r w:rsidRPr="00AB7CA1">
        <w:lastRenderedPageBreak/>
        <w:t>México que distribuya dicho dividendo o utilidad. Asimismo, el artículo 164, fracción I, quinto párrafo de la Ley del ISR, establece que las personas morales residentes en México deberán retener el impuesto que se obtenga de aplicar la tasa del 10% sobre los dividendos o utilidades que distribuyan a residentes en el extranjero.</w:t>
      </w:r>
    </w:p>
    <w:p w14:paraId="25BED242" w14:textId="77777777" w:rsidR="0098530D" w:rsidRPr="00AB7CA1" w:rsidRDefault="0098530D" w:rsidP="0098530D">
      <w:pPr>
        <w:pStyle w:val="Texto"/>
        <w:spacing w:after="80" w:line="210" w:lineRule="exact"/>
        <w:ind w:left="2736" w:hanging="1152"/>
      </w:pPr>
      <w:r w:rsidRPr="00AB7CA1">
        <w:tab/>
        <w:t>En consecuencia, debido a que los dividendos o utilidades distribuidos en la forma prevista por el artículo 10, segundo párrafo de la Ley del ISR, se consideran percibidos hasta el momento en que se pague el reembolso por reducción de capital o por la liquidación de la persona moral, el impuesto adicional del 10% a que se refieren los artículos 140, segundo párrafo y 164, fracción I, quinto párrafo de la Ley del ISR, no se causará en el momento en que se efectúe dicha distribución, sino hasta que se consideren percibidos conforme a la primera disposición señalada. En este mismo momento, las personas físicas acumularán dicho ingreso en los términos previstos por el artículo 140, primer párrafo de la Ley del ISR.</w:t>
      </w:r>
    </w:p>
    <w:p w14:paraId="2494FBFB" w14:textId="77777777" w:rsidR="0098530D" w:rsidRPr="00AB7CA1" w:rsidRDefault="0098530D" w:rsidP="0098530D">
      <w:pPr>
        <w:pStyle w:val="Texto"/>
        <w:spacing w:after="92"/>
        <w:ind w:left="2736" w:hanging="1152"/>
      </w:pPr>
      <w:r w:rsidRPr="00AB7CA1">
        <w:tab/>
        <w:t>Se precisa que las acciones recibidas de conformidad con los párrafos anteriores, no tendrán costo comprobado de adquisición en los términos del artículo 23, penúltimo párrafo de la Ley del ISR.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F5B2AA6"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02938309" w14:textId="77777777" w:rsidR="0098530D" w:rsidRPr="00AB7CA1" w:rsidRDefault="0098530D" w:rsidP="00552502">
            <w:pPr>
              <w:pStyle w:val="Texto"/>
              <w:spacing w:after="92"/>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7016A23E" w14:textId="77777777" w:rsidR="0098530D" w:rsidRPr="00AB7CA1" w:rsidRDefault="0098530D" w:rsidP="00552502">
            <w:pPr>
              <w:pStyle w:val="Texto"/>
              <w:spacing w:after="92"/>
              <w:ind w:firstLine="0"/>
              <w:jc w:val="center"/>
              <w:rPr>
                <w:b/>
              </w:rPr>
            </w:pPr>
            <w:r w:rsidRPr="00AB7CA1">
              <w:rPr>
                <w:b/>
              </w:rPr>
              <w:t>Primer antecedente</w:t>
            </w:r>
          </w:p>
        </w:tc>
      </w:tr>
      <w:tr w:rsidR="0098530D" w:rsidRPr="00AB7CA1" w14:paraId="2638699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577FF21A" w14:textId="77777777" w:rsidR="0098530D" w:rsidRPr="00AB7CA1" w:rsidRDefault="0098530D" w:rsidP="00552502">
            <w:pPr>
              <w:pStyle w:val="Texto"/>
              <w:spacing w:after="92"/>
              <w:ind w:firstLine="0"/>
            </w:pPr>
            <w:r w:rsidRPr="00AB7CA1">
              <w:t>RMF para 2017</w:t>
            </w:r>
          </w:p>
        </w:tc>
        <w:tc>
          <w:tcPr>
            <w:tcW w:w="3237" w:type="pct"/>
            <w:tcBorders>
              <w:top w:val="single" w:sz="6" w:space="0" w:color="auto"/>
              <w:left w:val="single" w:sz="6" w:space="0" w:color="auto"/>
              <w:bottom w:val="single" w:sz="6" w:space="0" w:color="auto"/>
              <w:right w:val="single" w:sz="6" w:space="0" w:color="auto"/>
            </w:tcBorders>
          </w:tcPr>
          <w:p w14:paraId="6277BA71" w14:textId="77777777" w:rsidR="0098530D" w:rsidRPr="00AB7CA1" w:rsidRDefault="0098530D" w:rsidP="00552502">
            <w:pPr>
              <w:pStyle w:val="Texto"/>
              <w:spacing w:after="92"/>
              <w:ind w:firstLine="0"/>
            </w:pPr>
            <w:r w:rsidRPr="00AB7CA1">
              <w:t>Publicada en el DOF el 23 de diciembre de 2016, Anexo 7, publicado en el DOF el 27 de diciembre de 2016.</w:t>
            </w:r>
          </w:p>
        </w:tc>
      </w:tr>
    </w:tbl>
    <w:p w14:paraId="5D371527" w14:textId="77777777" w:rsidR="0098530D" w:rsidRPr="00AB7CA1" w:rsidRDefault="0098530D" w:rsidP="0098530D">
      <w:pPr>
        <w:pStyle w:val="Texto"/>
        <w:spacing w:after="92"/>
        <w:ind w:left="2736" w:hanging="1152"/>
      </w:pPr>
    </w:p>
    <w:p w14:paraId="25335076" w14:textId="77777777" w:rsidR="0098530D" w:rsidRPr="00AB7CA1" w:rsidRDefault="0098530D" w:rsidP="0098530D">
      <w:pPr>
        <w:pStyle w:val="Texto"/>
        <w:spacing w:after="92"/>
        <w:ind w:left="2736" w:hanging="1152"/>
        <w:rPr>
          <w:lang w:val="es-ES_tradnl"/>
        </w:rPr>
      </w:pPr>
      <w:r w:rsidRPr="00AB7CA1">
        <w:rPr>
          <w:b/>
        </w:rPr>
        <w:t>54/ISR/N</w:t>
      </w:r>
      <w:r w:rsidRPr="00AB7CA1">
        <w:rPr>
          <w:b/>
        </w:rPr>
        <w:tab/>
        <w:t>Gas de empaque. El utilizado en el servicio de transporte de gas natural tiene la naturaleza de activo fijo.</w:t>
      </w:r>
    </w:p>
    <w:p w14:paraId="3CA289CC" w14:textId="77777777" w:rsidR="0098530D" w:rsidRPr="00AB7CA1" w:rsidRDefault="0098530D" w:rsidP="0098530D">
      <w:pPr>
        <w:pStyle w:val="Texto"/>
        <w:spacing w:after="92"/>
        <w:ind w:left="2736" w:hanging="1152"/>
        <w:rPr>
          <w:lang w:val="es-ES_tradnl"/>
        </w:rPr>
      </w:pPr>
      <w:r w:rsidRPr="00AB7CA1">
        <w:rPr>
          <w:lang w:val="es-ES_tradnl"/>
        </w:rPr>
        <w:tab/>
        <w:t>El artículo 32, segundo párrafo de la Ley del ISR, establece que se considera como activo fijo al conjunto de bienes tangibles que utilicen los contribuyentes para la realización de sus actividades y que se demeriten por el uso en el servicio del contribuyente y por el transcurso del tiempo; la adquisición o fabricación de estos bienes tendrá siempre como finalidad la utilización de los mismos para el desarrollo de las actividades, y no la de ser enajenados dentro del curso normal de sus operaciones.</w:t>
      </w:r>
    </w:p>
    <w:p w14:paraId="428D2329" w14:textId="77777777" w:rsidR="0098530D" w:rsidRPr="00AB7CA1" w:rsidRDefault="0098530D" w:rsidP="0098530D">
      <w:pPr>
        <w:pStyle w:val="Texto"/>
        <w:spacing w:after="92"/>
        <w:ind w:left="2736" w:hanging="1152"/>
        <w:rPr>
          <w:lang w:val="es-ES_tradnl"/>
        </w:rPr>
      </w:pPr>
      <w:r w:rsidRPr="00AB7CA1">
        <w:rPr>
          <w:lang w:val="es-ES_tradnl"/>
        </w:rPr>
        <w:tab/>
        <w:t>El artículo 35, fracción VI de la Ley del ISR establece que, tratándose de activos fijos destinados a la infraestructura fija para el transporte, almacenamiento y procesamiento de hidrocarburos, la tasa máxima de deducción anual aplicable es del 10%.</w:t>
      </w:r>
    </w:p>
    <w:p w14:paraId="3B8AC3BF" w14:textId="77777777" w:rsidR="0098530D" w:rsidRPr="00AB7CA1" w:rsidRDefault="0098530D" w:rsidP="0098530D">
      <w:pPr>
        <w:pStyle w:val="Texto"/>
        <w:spacing w:after="92"/>
        <w:ind w:left="2736" w:hanging="1152"/>
        <w:rPr>
          <w:lang w:val="es-ES_tradnl"/>
        </w:rPr>
      </w:pPr>
      <w:r w:rsidRPr="00AB7CA1">
        <w:rPr>
          <w:lang w:val="es-ES_tradnl"/>
        </w:rPr>
        <w:tab/>
        <w:t>Por su parte, el gas de empaque forma parte de la infraestructura fija empleada en el transporte de gas natural, ya que este tiene como finalidad establecer el sistema en su capacidad operativa; asimismo, el gas de empaque debe permanecer dentro del sistema para mantener dicha capacidad, por lo que no se emplea como combustible o se enajena dentro del curso normal de sus operaciones.</w:t>
      </w:r>
    </w:p>
    <w:p w14:paraId="558446C9" w14:textId="77777777" w:rsidR="0098530D" w:rsidRPr="00AB7CA1" w:rsidRDefault="0098530D" w:rsidP="0098530D">
      <w:pPr>
        <w:pStyle w:val="Texto"/>
        <w:spacing w:after="92"/>
        <w:ind w:left="2736" w:hanging="1152"/>
      </w:pPr>
      <w:r w:rsidRPr="00AB7CA1">
        <w:rPr>
          <w:lang w:val="es-ES_tradnl"/>
        </w:rPr>
        <w:tab/>
        <w:t>Por</w:t>
      </w:r>
      <w:r w:rsidRPr="00AB7CA1">
        <w:t xml:space="preserve"> lo anterior, el gas de empaque se ubica en la hipótesis prevista por el artículo 35, fracción VI de la Ley del ISR, por lo que este se deducirá a la tasa máxima del 10% anual sobre el monto original de la inversión.</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8AEA330"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4E9C6309" w14:textId="77777777" w:rsidR="0098530D" w:rsidRPr="00AB7CA1" w:rsidRDefault="0098530D" w:rsidP="00552502">
            <w:pPr>
              <w:pStyle w:val="Texto"/>
              <w:spacing w:after="92"/>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0903E30" w14:textId="77777777" w:rsidR="0098530D" w:rsidRPr="00AB7CA1" w:rsidRDefault="0098530D" w:rsidP="00552502">
            <w:pPr>
              <w:pStyle w:val="Texto"/>
              <w:spacing w:after="92"/>
              <w:ind w:firstLine="0"/>
              <w:jc w:val="center"/>
              <w:rPr>
                <w:b/>
              </w:rPr>
            </w:pPr>
            <w:r w:rsidRPr="00AB7CA1">
              <w:rPr>
                <w:b/>
              </w:rPr>
              <w:t>Primer antecedente</w:t>
            </w:r>
          </w:p>
        </w:tc>
      </w:tr>
      <w:tr w:rsidR="0098530D" w:rsidRPr="00AB7CA1" w14:paraId="58D96A72"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EB7238D" w14:textId="77777777" w:rsidR="0098530D" w:rsidRPr="00AB7CA1" w:rsidRDefault="0098530D" w:rsidP="00552502">
            <w:pPr>
              <w:pStyle w:val="Texto"/>
              <w:spacing w:after="92"/>
              <w:ind w:firstLine="0"/>
            </w:pPr>
            <w:r w:rsidRPr="00AB7CA1">
              <w:t>RMF para 2018</w:t>
            </w:r>
          </w:p>
        </w:tc>
        <w:tc>
          <w:tcPr>
            <w:tcW w:w="3237" w:type="pct"/>
            <w:tcBorders>
              <w:top w:val="single" w:sz="6" w:space="0" w:color="auto"/>
              <w:left w:val="single" w:sz="6" w:space="0" w:color="auto"/>
              <w:bottom w:val="single" w:sz="6" w:space="0" w:color="auto"/>
              <w:right w:val="single" w:sz="6" w:space="0" w:color="auto"/>
            </w:tcBorders>
          </w:tcPr>
          <w:p w14:paraId="52DBE47D" w14:textId="77777777" w:rsidR="0098530D" w:rsidRPr="00AB7CA1" w:rsidRDefault="0098530D" w:rsidP="00552502">
            <w:pPr>
              <w:pStyle w:val="Texto"/>
              <w:spacing w:after="92"/>
              <w:ind w:firstLine="0"/>
            </w:pPr>
            <w:r w:rsidRPr="00AB7CA1">
              <w:t>Publicada en el DOF el 22 de diciembre de 2017, Anexo 7, publicado en el DOF el 29 de diciembre de 2017.</w:t>
            </w:r>
          </w:p>
        </w:tc>
      </w:tr>
    </w:tbl>
    <w:p w14:paraId="27D58BDB" w14:textId="77777777" w:rsidR="0098530D" w:rsidRPr="00AB7CA1" w:rsidRDefault="0098530D" w:rsidP="0098530D">
      <w:pPr>
        <w:pStyle w:val="Texto"/>
        <w:spacing w:after="92"/>
        <w:ind w:left="2736" w:hanging="1152"/>
      </w:pPr>
    </w:p>
    <w:p w14:paraId="46630E60" w14:textId="77777777" w:rsidR="0098530D" w:rsidRPr="00AB7CA1" w:rsidRDefault="0098530D" w:rsidP="0098530D">
      <w:pPr>
        <w:pStyle w:val="Texto"/>
        <w:spacing w:after="92"/>
        <w:ind w:left="2736" w:hanging="1152"/>
        <w:rPr>
          <w:b/>
        </w:rPr>
      </w:pPr>
      <w:r w:rsidRPr="00AB7CA1">
        <w:rPr>
          <w:b/>
        </w:rPr>
        <w:t>55/ISR/N</w:t>
      </w:r>
      <w:r w:rsidRPr="00AB7CA1">
        <w:rPr>
          <w:b/>
        </w:rPr>
        <w:tab/>
        <w:t>Beneficios empresariales para los efectos de los tratados para evitar la doble tributación y su relación con el artículo 175, fracción VI de la Ley del ISR.</w:t>
      </w:r>
    </w:p>
    <w:p w14:paraId="612B4D18" w14:textId="77777777" w:rsidR="0098530D" w:rsidRPr="00AB7CA1" w:rsidRDefault="0098530D" w:rsidP="0098530D">
      <w:pPr>
        <w:pStyle w:val="Texto"/>
        <w:spacing w:after="92"/>
        <w:ind w:left="2736" w:hanging="1152"/>
      </w:pPr>
      <w:r w:rsidRPr="00AB7CA1">
        <w:lastRenderedPageBreak/>
        <w:tab/>
        <w:t>La regla 2.1.32., para efectos del artículo 7 de los tratados para evitar la doble tributación que México tenga en vigor, se entenderá por el término “beneficios empresariales”, a los ingresos generados por las actividades referidas en el artículo 16 del CFF.</w:t>
      </w:r>
    </w:p>
    <w:p w14:paraId="553971DA" w14:textId="77777777" w:rsidR="0098530D" w:rsidRPr="00AB7CA1" w:rsidRDefault="0098530D" w:rsidP="0098530D">
      <w:pPr>
        <w:pStyle w:val="Texto"/>
        <w:spacing w:after="92"/>
        <w:ind w:left="2736" w:hanging="1152"/>
      </w:pPr>
      <w:r w:rsidRPr="00AB7CA1">
        <w:tab/>
        <w:t>Por su parte, los artículos de definiciones generales de los tratados para evitar la doble tributación que México tiene en vigor establecen que para la aplicación de dichos tratados cualquier término o expresión no definida tendrá, a menos que de su contexto se infiera una interpretación distinta, el significado que le atribuya la legislación interna relativa a los impuestos que son objeto del tratado.</w:t>
      </w:r>
    </w:p>
    <w:p w14:paraId="17D193C3" w14:textId="77777777" w:rsidR="0098530D" w:rsidRPr="00AB7CA1" w:rsidRDefault="0098530D" w:rsidP="0098530D">
      <w:pPr>
        <w:pStyle w:val="Texto"/>
        <w:spacing w:after="92"/>
        <w:ind w:left="2736" w:hanging="1152"/>
      </w:pPr>
      <w:r w:rsidRPr="00AB7CA1">
        <w:tab/>
        <w:t>Al respecto, el artículo 175, fracción VI de la Ley del ISR establece que se considerarán ingresos por actividades empresariales los derivados de las actividades a que se refiere el artículo 16 del CFF y que no se entienden comprendidos los ingresos a que se refieren los artículos 153 al 173 de la referida Ley. Sin embargo, dicha disposición establece expresamente en su primer párrafo que este supuesto sólo es aplicable para efectos del Título V del mismo ordenamiento.</w:t>
      </w:r>
    </w:p>
    <w:p w14:paraId="5E1E51F7" w14:textId="77777777" w:rsidR="0098530D" w:rsidRPr="00AB7CA1" w:rsidRDefault="0098530D" w:rsidP="0098530D">
      <w:pPr>
        <w:pStyle w:val="Texto"/>
        <w:spacing w:line="220" w:lineRule="exact"/>
        <w:ind w:left="2736" w:hanging="1152"/>
      </w:pPr>
      <w:r w:rsidRPr="00AB7CA1">
        <w:tab/>
        <w:t>Consecuentemente, para fines de los tratados para evitar la doble tributación que México tenga en vigor, la regla 2.1.32. es la disposición de la legislación interna que determina lo que se entenderá por “beneficios empresariales”.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A41808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4C3B5E6D" w14:textId="77777777" w:rsidR="0098530D" w:rsidRPr="00AB7CA1" w:rsidRDefault="0098530D" w:rsidP="00552502">
            <w:pPr>
              <w:pStyle w:val="Texto"/>
              <w:spacing w:line="220"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1CA25271" w14:textId="77777777" w:rsidR="0098530D" w:rsidRPr="00AB7CA1" w:rsidRDefault="0098530D" w:rsidP="00552502">
            <w:pPr>
              <w:pStyle w:val="Texto"/>
              <w:spacing w:line="220" w:lineRule="exact"/>
              <w:ind w:firstLine="0"/>
              <w:jc w:val="center"/>
              <w:rPr>
                <w:b/>
              </w:rPr>
            </w:pPr>
            <w:r w:rsidRPr="00AB7CA1">
              <w:rPr>
                <w:b/>
              </w:rPr>
              <w:t>Primer antecedente</w:t>
            </w:r>
          </w:p>
        </w:tc>
      </w:tr>
      <w:tr w:rsidR="0098530D" w:rsidRPr="00AB7CA1" w14:paraId="2E1A7860"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5DECC62F" w14:textId="77777777" w:rsidR="0098530D" w:rsidRPr="00AB7CA1" w:rsidRDefault="0098530D" w:rsidP="00552502">
            <w:pPr>
              <w:pStyle w:val="Texto"/>
              <w:spacing w:line="220" w:lineRule="exact"/>
              <w:ind w:firstLine="0"/>
            </w:pPr>
            <w:r w:rsidRPr="00AB7CA1">
              <w:t>Cuarta Resolución de Modificaciones a la RMF para 2018</w:t>
            </w:r>
          </w:p>
        </w:tc>
        <w:tc>
          <w:tcPr>
            <w:tcW w:w="3237" w:type="pct"/>
            <w:tcBorders>
              <w:top w:val="single" w:sz="6" w:space="0" w:color="auto"/>
              <w:left w:val="single" w:sz="6" w:space="0" w:color="auto"/>
              <w:bottom w:val="single" w:sz="6" w:space="0" w:color="auto"/>
              <w:right w:val="single" w:sz="6" w:space="0" w:color="auto"/>
            </w:tcBorders>
          </w:tcPr>
          <w:p w14:paraId="5F7BDEAD" w14:textId="77777777" w:rsidR="0098530D" w:rsidRPr="00AB7CA1" w:rsidRDefault="0098530D" w:rsidP="00552502">
            <w:pPr>
              <w:pStyle w:val="Texto"/>
              <w:spacing w:line="220" w:lineRule="exact"/>
              <w:ind w:firstLine="0"/>
            </w:pPr>
            <w:r w:rsidRPr="00AB7CA1">
              <w:t>Publicada en el DOF el 30 de noviembre de 2018, Anexo 7, publicado en el DOF el mismo 30 de noviembre de 2018.</w:t>
            </w:r>
          </w:p>
        </w:tc>
      </w:tr>
    </w:tbl>
    <w:p w14:paraId="4888D96F" w14:textId="77777777" w:rsidR="0098530D" w:rsidRPr="00AB7CA1" w:rsidRDefault="0098530D" w:rsidP="0098530D">
      <w:pPr>
        <w:pStyle w:val="Texto"/>
        <w:spacing w:line="220" w:lineRule="exact"/>
        <w:ind w:left="2736" w:hanging="1152"/>
        <w:rPr>
          <w:b/>
        </w:rPr>
      </w:pPr>
    </w:p>
    <w:p w14:paraId="450A5A01" w14:textId="77777777" w:rsidR="0098530D" w:rsidRPr="00AB7CA1" w:rsidRDefault="0098530D" w:rsidP="0098530D">
      <w:pPr>
        <w:pStyle w:val="Texto"/>
        <w:spacing w:line="220" w:lineRule="exact"/>
        <w:ind w:left="2736" w:hanging="1152"/>
        <w:rPr>
          <w:b/>
        </w:rPr>
      </w:pPr>
      <w:r w:rsidRPr="00AB7CA1">
        <w:rPr>
          <w:b/>
        </w:rPr>
        <w:t>56/ISR/N</w:t>
      </w:r>
      <w:r w:rsidRPr="00AB7CA1">
        <w:rPr>
          <w:b/>
        </w:rPr>
        <w:tab/>
        <w:t>Autorización. Requisitos para ser donataria autorizada.</w:t>
      </w:r>
    </w:p>
    <w:p w14:paraId="392BBAAC" w14:textId="77777777" w:rsidR="0098530D" w:rsidRPr="00AB7CA1" w:rsidRDefault="0098530D" w:rsidP="0098530D">
      <w:pPr>
        <w:pStyle w:val="Texto"/>
        <w:spacing w:line="222" w:lineRule="exact"/>
        <w:ind w:left="2736" w:hanging="1152"/>
      </w:pPr>
      <w:r w:rsidRPr="00AB7CA1">
        <w:tab/>
        <w:t>El artículo 82, fracción l de la Ley del ISR, dispone que para ser consideradas como instituciones autorizadas para recibir donativos deducibles las personas morales con fines no lucrativos deberán realizar exclusivamente la actividad de su objeto social que se ubica en alguno de los supuestos establecidos por la Ley de ISR de conformidad con lo establecido en los artículos 79, fracciones Vl, X, Xl, Xll, XVll, XlX, XX, y XXV, 82, penúltimo párrafo de la Ley del ISR, así como 36, segundo párrafo y 134 de su Reglamento, es decir, que sólo tendrán que llevar a cabo la actividad asistencial, educativa, de investigación científica o tecnológica, cultural, ecológica, de preservación de especies en peligro de extinción, becantes, de obras o servicios públicos, de desarrollo social, de apoyo económico, museos y bibliotecas privados.</w:t>
      </w:r>
    </w:p>
    <w:p w14:paraId="5DA517F2" w14:textId="77777777" w:rsidR="0098530D" w:rsidRPr="00AB7CA1" w:rsidRDefault="0098530D" w:rsidP="0098530D">
      <w:pPr>
        <w:pStyle w:val="Texto"/>
        <w:spacing w:line="222" w:lineRule="exact"/>
        <w:ind w:left="2736" w:hanging="1152"/>
      </w:pPr>
      <w:r w:rsidRPr="00AB7CA1">
        <w:tab/>
        <w:t>Adicionalmente, el citado artículo 82, en su fracción IV señala que las personas morales con fines no lucrativos deberán destinar sus activos exclusivamente a los fines propios de su objeto social, por el cual hayan sido autorizadas para recibir donativos deducibles del ISR, no pudiendo otorgar beneficios sobre el remanente distribuible a ninguna persona física ni a ninguno de sus integrantes personas físicas o morales, salvo que se trate, en este último caso, de alguna de las personas morales o fideicomisos autorizados para recibir donativos deducibles de impuestos o se trate de la remuneración de servicios efectivamente recibidos.</w:t>
      </w:r>
    </w:p>
    <w:p w14:paraId="21949959" w14:textId="77777777" w:rsidR="0098530D" w:rsidRPr="00AB7CA1" w:rsidRDefault="0098530D" w:rsidP="0098530D">
      <w:pPr>
        <w:pStyle w:val="Texto"/>
        <w:spacing w:line="222" w:lineRule="exact"/>
        <w:ind w:left="2736" w:hanging="1152"/>
      </w:pPr>
      <w:r w:rsidRPr="00AB7CA1">
        <w:tab/>
        <w:t>Asimismo, el propio artículo 82, fracción V, determina que las personas morales con fines no lucrativos al momento de su liquidación o cambio de residencia para efectos fiscales, deberán destinar la totalidad de su patrimonio a otras entidades autorizadas para recibir donativos.</w:t>
      </w:r>
    </w:p>
    <w:p w14:paraId="5CCBBD87" w14:textId="77777777" w:rsidR="0098530D" w:rsidRPr="00AB7CA1" w:rsidRDefault="0098530D" w:rsidP="0098530D">
      <w:pPr>
        <w:pStyle w:val="Texto"/>
        <w:spacing w:line="222" w:lineRule="exact"/>
        <w:ind w:left="2736" w:hanging="1152"/>
      </w:pPr>
      <w:r w:rsidRPr="00AB7CA1">
        <w:tab/>
        <w:t xml:space="preserve">En caso de que la autorización para recibir donativos deducibles otorgada a la Asociación, sea revocada, su vigencia haya concluido o se haya solicitado su cancelación y no se haya obtenido nuevamente o renovado la misma, </w:t>
      </w:r>
      <w:r w:rsidRPr="00AB7CA1">
        <w:lastRenderedPageBreak/>
        <w:t>dentro de los doce meses siguientes a la fecha en que ocurra cualquiera de dichos eventos, se deberá destinar la totalidad de su patrimonio a otras entidades autorizadas para recibir donativos deducibles, dentro de los 6 meses siguientes, contados a partir de que concluyó el plazo para obtener nuevamente la autorización, disposiciones que deben constar de manera irrevocable en sus estatutos sociales.</w:t>
      </w:r>
    </w:p>
    <w:p w14:paraId="0F32C7DA" w14:textId="77777777" w:rsidR="0098530D" w:rsidRPr="00AB7CA1" w:rsidRDefault="0098530D" w:rsidP="0098530D">
      <w:pPr>
        <w:pStyle w:val="Texto"/>
        <w:spacing w:line="222" w:lineRule="exact"/>
        <w:ind w:left="2736" w:hanging="1152"/>
      </w:pPr>
      <w:r w:rsidRPr="00AB7CA1">
        <w:tab/>
        <w:t>El artículo 5o. del CFF, establece que las disposiciones fiscales que establezcan cargas a los particulares indican el sujeto, objeto, base, tasa o tarifa de una contribución y las excepciones a esta, deben aplicarse en forma estricta, mientras que la interpretación del resto de las disposiciones tributarias podrá realizarse aplicando cualquier otro método de interpretación jurídica. En este sentido, la Suprema Corte de Justicia de la Nación considera que la circunstancia de que sean de aplicación estricta determinadas disposiciones de carácter tributario, no impide al intérprete acudir a los diversos métodos que permiten conocer la verdadera intención del creador de las normas, cuando de su análisis literal las palabras utilizadas, sean técnicas o de uso común y se pueda generar incertidumbre sobre su significado.</w:t>
      </w:r>
    </w:p>
    <w:p w14:paraId="2A29A793" w14:textId="77777777" w:rsidR="0098530D" w:rsidRPr="00AB7CA1" w:rsidRDefault="0098530D" w:rsidP="0098530D">
      <w:pPr>
        <w:pStyle w:val="Texto"/>
        <w:spacing w:line="218" w:lineRule="exact"/>
        <w:ind w:left="2736" w:hanging="1152"/>
      </w:pPr>
      <w:r w:rsidRPr="00AB7CA1">
        <w:tab/>
        <w:t>De la interpretación a las disposiciones antes señaladas se tiene que el objeto social o fin autorizados corresponde a la actividad que la autoridad fiscal constató se ubica en los supuestos contemplados en las disposiciones fiscales como susceptible de ser autorizada conforme a la Ley del ISR, el cual está contenido en el oficio de autorización correspondiente.</w:t>
      </w:r>
    </w:p>
    <w:p w14:paraId="1B0E80C8" w14:textId="77777777" w:rsidR="0098530D" w:rsidRPr="00AB7CA1" w:rsidRDefault="0098530D" w:rsidP="0098530D">
      <w:pPr>
        <w:pStyle w:val="Texto"/>
        <w:spacing w:line="218" w:lineRule="exact"/>
        <w:ind w:left="2736" w:hanging="1152"/>
      </w:pPr>
      <w:r w:rsidRPr="00AB7CA1">
        <w:tab/>
        <w:t>En los estatutos sociales o contrato de fideicomiso respectivo, de las personas morales con fines no lucrativos o fideicomisos, se pueden establecer tanto actividades susceptibles de ser autorizadas conforme a la Ley del ISR, como otras no relacionados con dicha finalidad, sin embargo, eso no impide obtener la autorización, siempre y cuando, dichas actividades no tengan fines económicos y se realicen exclusivamente para alcanzar el objeto social autorizado.</w:t>
      </w:r>
    </w:p>
    <w:p w14:paraId="166F2BFC" w14:textId="77777777" w:rsidR="0098530D" w:rsidRPr="00AB7CA1" w:rsidRDefault="0098530D" w:rsidP="0098530D">
      <w:pPr>
        <w:pStyle w:val="Texto"/>
        <w:spacing w:line="218" w:lineRule="exact"/>
        <w:ind w:left="2736" w:hanging="1152"/>
      </w:pPr>
      <w:r w:rsidRPr="00AB7CA1">
        <w:tab/>
        <w:t>En ese sentido, cuando se actualice el supuesto señalado en el párrafo anterior, se puede considerar que se tienen por cumplidos los requisitos para ser donataria autorizada previstos en el artículo 82, fracción I de la Ley del ISR y, por ende, las organizaciones civiles y fideicomisos podrán obtener autorización para recibir donativos deducibles, siempre y cuando no realicen ningún acto o actividad que contravenga la naturaleza sin fines económicos de las donatarias autorizadas o las disposiciones legales aplicables al régimen de donatarias autorizadas.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24107D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41F72648" w14:textId="77777777" w:rsidR="0098530D" w:rsidRPr="00AB7CA1" w:rsidRDefault="0098530D" w:rsidP="00552502">
            <w:pPr>
              <w:pStyle w:val="Texto"/>
              <w:spacing w:line="218"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418479CA" w14:textId="77777777" w:rsidR="0098530D" w:rsidRPr="00AB7CA1" w:rsidRDefault="0098530D" w:rsidP="00552502">
            <w:pPr>
              <w:pStyle w:val="Texto"/>
              <w:spacing w:line="218" w:lineRule="exact"/>
              <w:ind w:firstLine="0"/>
              <w:jc w:val="center"/>
              <w:rPr>
                <w:b/>
              </w:rPr>
            </w:pPr>
            <w:r w:rsidRPr="00AB7CA1">
              <w:rPr>
                <w:b/>
              </w:rPr>
              <w:t>Primer antecedente</w:t>
            </w:r>
          </w:p>
        </w:tc>
      </w:tr>
      <w:tr w:rsidR="0098530D" w:rsidRPr="00AB7CA1" w14:paraId="400A7742"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3D755B7" w14:textId="77777777" w:rsidR="0098530D" w:rsidRPr="00AB7CA1" w:rsidRDefault="0098530D" w:rsidP="00552502">
            <w:pPr>
              <w:pStyle w:val="Texto"/>
              <w:spacing w:line="218" w:lineRule="exact"/>
              <w:ind w:firstLine="0"/>
            </w:pPr>
            <w:r w:rsidRPr="00AB7CA1">
              <w:t>RMF para 2020</w:t>
            </w:r>
          </w:p>
        </w:tc>
        <w:tc>
          <w:tcPr>
            <w:tcW w:w="3237" w:type="pct"/>
            <w:tcBorders>
              <w:top w:val="single" w:sz="6" w:space="0" w:color="auto"/>
              <w:left w:val="single" w:sz="6" w:space="0" w:color="auto"/>
              <w:bottom w:val="single" w:sz="6" w:space="0" w:color="auto"/>
              <w:right w:val="single" w:sz="6" w:space="0" w:color="auto"/>
            </w:tcBorders>
          </w:tcPr>
          <w:p w14:paraId="570042AB" w14:textId="77777777" w:rsidR="0098530D" w:rsidRPr="00AB7CA1" w:rsidRDefault="0098530D" w:rsidP="00552502">
            <w:pPr>
              <w:pStyle w:val="Texto"/>
              <w:spacing w:line="218" w:lineRule="exact"/>
              <w:ind w:firstLine="0"/>
            </w:pPr>
            <w:r w:rsidRPr="00AB7CA1">
              <w:t>Publicada en el DOF el 29 de diciembre de 2019, Anexo 7, publicado el 9 de enero de 2020.</w:t>
            </w:r>
          </w:p>
        </w:tc>
      </w:tr>
    </w:tbl>
    <w:p w14:paraId="6C8DF059" w14:textId="77777777" w:rsidR="0098530D" w:rsidRPr="00AB7CA1" w:rsidRDefault="0098530D" w:rsidP="0098530D">
      <w:pPr>
        <w:pStyle w:val="Texto"/>
        <w:spacing w:line="218" w:lineRule="exact"/>
        <w:ind w:left="2736" w:hanging="1152"/>
        <w:rPr>
          <w:b/>
        </w:rPr>
      </w:pPr>
    </w:p>
    <w:p w14:paraId="1C4A6A37" w14:textId="77777777" w:rsidR="0098530D" w:rsidRPr="00AB7CA1" w:rsidRDefault="0098530D" w:rsidP="0098530D">
      <w:pPr>
        <w:pStyle w:val="Texto"/>
        <w:spacing w:line="218" w:lineRule="exact"/>
        <w:ind w:left="2736" w:hanging="1152"/>
        <w:rPr>
          <w:b/>
        </w:rPr>
      </w:pPr>
      <w:r w:rsidRPr="00AB7CA1">
        <w:rPr>
          <w:b/>
        </w:rPr>
        <w:t>57/ISR/N</w:t>
      </w:r>
      <w:r w:rsidRPr="00AB7CA1">
        <w:rPr>
          <w:b/>
        </w:rPr>
        <w:tab/>
        <w:t>Donativos otorgados por Donatarias Autorizadas a organizaciones extranjeras</w:t>
      </w:r>
    </w:p>
    <w:p w14:paraId="6DD97866" w14:textId="77777777" w:rsidR="0098530D" w:rsidRPr="00AB7CA1" w:rsidRDefault="0098530D" w:rsidP="0098530D">
      <w:pPr>
        <w:pStyle w:val="Texto"/>
        <w:spacing w:line="218" w:lineRule="exact"/>
        <w:ind w:left="2736" w:hanging="1152"/>
      </w:pPr>
      <w:r w:rsidRPr="00AB7CA1">
        <w:tab/>
        <w:t>El artículo 82, penúltimo párrafo de la Ley del ISR, dispone que las fundaciones, patronatos y demás entidades podrán obtener autorización para recibir donativos deducibles cuando su objeto social consista en apoyar económicamente las actividades de otras donatarias autorizadas en términos de la propia Ley, siempre que destinen la totalidad de sus ingresos a las actividades autorizadas.</w:t>
      </w:r>
    </w:p>
    <w:p w14:paraId="4AECD8A4" w14:textId="77777777" w:rsidR="0098530D" w:rsidRDefault="0098530D" w:rsidP="0098530D">
      <w:pPr>
        <w:pStyle w:val="Texto"/>
        <w:spacing w:line="218" w:lineRule="exact"/>
        <w:ind w:left="2736" w:hanging="1152"/>
      </w:pPr>
      <w:r w:rsidRPr="00AB7CA1">
        <w:tab/>
        <w:t xml:space="preserve">Por su parte, el artículo 22, párrafos 2 y 3 del Convenio entre el Gobierno de los Estados Unidos Mexicanos y el Gobierno de los Estados Unidos de América para evitar la doble imposición e impedir la evasión fiscal en materia </w:t>
      </w:r>
      <w:r w:rsidRPr="00AB7CA1">
        <w:lastRenderedPageBreak/>
        <w:t>de impuestos sobre la renta, establece disposiciones complementarias a las de la legislación interna de México y de Estados Unidos de América, en cuanto que regulan los elementos para el reconocimiento recíproco de las donatarias, lo que se encuentra sujeto a los límites que establece el propio Convenio así como a las disposiciones internas de cada país, ello al permitir considerar deducibles los donativos que un residente de los Estados Unidos de América haga a donatarias autorizadas de México que cumplan ciertos requisitos y los que residentes de México hagan a instituciones de beneficencia pública autorizadas en los Estados Unidos de América, como deducibles en México.</w:t>
      </w:r>
    </w:p>
    <w:p w14:paraId="7B3FE185" w14:textId="77777777" w:rsidR="0098530D" w:rsidRDefault="0098530D" w:rsidP="0098530D">
      <w:pPr>
        <w:pStyle w:val="Texto"/>
        <w:spacing w:line="218" w:lineRule="exact"/>
        <w:ind w:left="2736" w:hanging="1152"/>
      </w:pPr>
      <w:r w:rsidRPr="00AB7CA1">
        <w:tab/>
        <w:t>En este sentido, a diferencia de lo que acontece con las disposiciones del artículo 22, párrafo 2 del Convenio, el párrafo 3 del artículo en comento no establece la posibilidad de que las fundaciones, patronatos y demás entidades cuyo propósito sea apoyar económicamente las actividades de donatarias autorizadas a que se refiere el artículo 82, penúltimo párrafo de la Ley del ISR, puedan efectuar donativos a instituciones de beneficencia pública o fundaciones privadas de Estados Unidos de América, pues en caso de hacerlo se consideraría erogaciones no deducibles lo que involucraría la determinación de remanente distribuible del cual deberá realizarse el pago conforme a lo señalado en el artículo 79 de la Ley</w:t>
      </w:r>
      <w:r>
        <w:t xml:space="preserve"> </w:t>
      </w:r>
      <w:r w:rsidRPr="00AB7CA1">
        <w:t>del ISR.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95EC3E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CBB9244" w14:textId="77777777" w:rsidR="0098530D" w:rsidRPr="00AB7CA1" w:rsidRDefault="0098530D" w:rsidP="00552502">
            <w:pPr>
              <w:pStyle w:val="Texto"/>
              <w:spacing w:line="226"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2E72AB9" w14:textId="77777777" w:rsidR="0098530D" w:rsidRPr="00AB7CA1" w:rsidRDefault="0098530D" w:rsidP="00552502">
            <w:pPr>
              <w:pStyle w:val="Texto"/>
              <w:spacing w:line="226" w:lineRule="exact"/>
              <w:ind w:firstLine="0"/>
              <w:jc w:val="center"/>
              <w:rPr>
                <w:b/>
              </w:rPr>
            </w:pPr>
            <w:r w:rsidRPr="00AB7CA1">
              <w:rPr>
                <w:b/>
              </w:rPr>
              <w:t>Primer antecedente</w:t>
            </w:r>
          </w:p>
        </w:tc>
      </w:tr>
      <w:tr w:rsidR="0098530D" w:rsidRPr="00AB7CA1" w14:paraId="21190667"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38DBCA5" w14:textId="77777777" w:rsidR="0098530D" w:rsidRPr="00AB7CA1" w:rsidRDefault="0098530D" w:rsidP="00552502">
            <w:pPr>
              <w:pStyle w:val="Texto"/>
              <w:spacing w:line="226" w:lineRule="exact"/>
              <w:ind w:firstLine="0"/>
            </w:pPr>
            <w:r w:rsidRPr="00AB7CA1">
              <w:t>Modificación al Anexo 7 de la RMF para 2022</w:t>
            </w:r>
          </w:p>
        </w:tc>
        <w:tc>
          <w:tcPr>
            <w:tcW w:w="3237" w:type="pct"/>
            <w:tcBorders>
              <w:top w:val="single" w:sz="6" w:space="0" w:color="auto"/>
              <w:left w:val="single" w:sz="6" w:space="0" w:color="auto"/>
              <w:bottom w:val="single" w:sz="6" w:space="0" w:color="auto"/>
              <w:right w:val="single" w:sz="6" w:space="0" w:color="auto"/>
            </w:tcBorders>
          </w:tcPr>
          <w:p w14:paraId="4F8AF655" w14:textId="77777777" w:rsidR="0098530D" w:rsidRPr="00AB7CA1" w:rsidRDefault="0098530D" w:rsidP="00552502">
            <w:pPr>
              <w:pStyle w:val="Texto"/>
              <w:spacing w:line="226" w:lineRule="exact"/>
              <w:ind w:firstLine="0"/>
            </w:pPr>
            <w:r w:rsidRPr="00AB7CA1">
              <w:t>Publicada en el DOF el 27 de diciembre de 2022, Modificación al Anexo 7, publicado el 10 de enero de 2023, con el número de criterio normativo 68/ISR.</w:t>
            </w:r>
          </w:p>
        </w:tc>
      </w:tr>
    </w:tbl>
    <w:p w14:paraId="581769FE" w14:textId="77777777" w:rsidR="0098530D" w:rsidRPr="00AB7CA1" w:rsidRDefault="0098530D" w:rsidP="0098530D">
      <w:pPr>
        <w:pStyle w:val="Texto"/>
        <w:spacing w:line="226" w:lineRule="exact"/>
        <w:ind w:left="2736" w:hanging="1152"/>
      </w:pPr>
    </w:p>
    <w:p w14:paraId="154A278B" w14:textId="77777777" w:rsidR="0098530D" w:rsidRPr="00AB7CA1" w:rsidRDefault="0098530D" w:rsidP="0098530D">
      <w:pPr>
        <w:pStyle w:val="Texto"/>
        <w:spacing w:line="226" w:lineRule="exact"/>
        <w:ind w:left="2736" w:hanging="1152"/>
        <w:rPr>
          <w:b/>
        </w:rPr>
      </w:pPr>
      <w:r w:rsidRPr="00AB7CA1">
        <w:rPr>
          <w:b/>
        </w:rPr>
        <w:t>58/ISR/N</w:t>
      </w:r>
      <w:r w:rsidRPr="00AB7CA1">
        <w:tab/>
      </w:r>
      <w:r w:rsidRPr="00AB7CA1">
        <w:rPr>
          <w:b/>
        </w:rPr>
        <w:t>Beneficios del tratado para evitar la doble tributación entre México y Qatar. Interpretación de los textos en español e inglés.</w:t>
      </w:r>
    </w:p>
    <w:p w14:paraId="58DBB30C" w14:textId="77777777" w:rsidR="0098530D" w:rsidRDefault="0098530D" w:rsidP="0098530D">
      <w:pPr>
        <w:pStyle w:val="Texto"/>
        <w:spacing w:line="226" w:lineRule="exact"/>
        <w:ind w:left="2736" w:hanging="1152"/>
      </w:pPr>
      <w:r w:rsidRPr="00AB7CA1">
        <w:tab/>
        <w:t>El artículo 4, primer párrafo de la Ley del ISR establece que los beneficios de los tratados para evitar la doble tributación solo serán aplicables a los contribuyentes que cumplan, entre otras, con las disposiciones del propio tratado.</w:t>
      </w:r>
    </w:p>
    <w:p w14:paraId="7F70ABFF" w14:textId="77777777" w:rsidR="0098530D" w:rsidRPr="00AB7CA1" w:rsidRDefault="0098530D" w:rsidP="0098530D">
      <w:pPr>
        <w:pStyle w:val="Texto"/>
        <w:spacing w:line="226" w:lineRule="exact"/>
        <w:ind w:left="2736" w:hanging="1152"/>
      </w:pPr>
      <w:r w:rsidRPr="00AB7CA1">
        <w:tab/>
        <w:t>El texto auténtico en español del artículo 11, párrafo 3, inciso b) del Acuerdo entre el Gobierno de los Estados Unidos Mexicanos y el Gobierno del Estado de Qatar para Evitar la Doble Imposición y Prevenir la Evasión Fiscal en Materia de Impuestos sobre la Renta, publicado en el DOF el 8 de marzo de 2013, establece que no obstante lo señalado en el párrafo 2 de dicho artículo, los intereses a que se refiere el párrafo 1 solo pueden someterse a imposición en el Estado Contratante en que resida el beneficiario efectivo si, en el caso de Qatar, las entidades que indica dicho inciso o cualquier otra que sea acordada entre las autoridades competentes de los Estados Contratantes, sean total o parcialmente poseídas por Qatar.</w:t>
      </w:r>
    </w:p>
    <w:p w14:paraId="20835145" w14:textId="77777777" w:rsidR="0098530D" w:rsidRPr="00AB7CA1" w:rsidRDefault="0098530D" w:rsidP="0098530D">
      <w:pPr>
        <w:pStyle w:val="Texto"/>
        <w:spacing w:line="226" w:lineRule="exact"/>
        <w:ind w:left="2736" w:hanging="1152"/>
      </w:pPr>
      <w:r w:rsidRPr="00AB7CA1">
        <w:tab/>
        <w:t>En el texto auténtico en inglés, el cual se encuentra registrado por la Secretaría de Relaciones Exteriores, la disposición que nos ocupa señala que dichos intereses solo pueden someterse a imposición en el Estado Contratante en que resida el beneficiario efectivo si, “… in the case of Qatar, the following entities as long as they are wholly owned by Qatar”.</w:t>
      </w:r>
    </w:p>
    <w:p w14:paraId="68D192D0" w14:textId="77777777" w:rsidR="0098530D" w:rsidRPr="00AB7CA1" w:rsidRDefault="0098530D" w:rsidP="0098530D">
      <w:pPr>
        <w:pStyle w:val="Texto"/>
        <w:spacing w:line="226" w:lineRule="exact"/>
        <w:ind w:left="2736" w:hanging="1152"/>
      </w:pPr>
      <w:r w:rsidRPr="00AB7CA1">
        <w:tab/>
        <w:t>De los textos auténticos en español e inglés del inciso señalado, se desprende una divergencia, ya que el texto en inglés contiene la frase “as long as they are wholly owned by Qatar”, de la que se puede interpretar que la tenencia en las entidades indicadas por parte del Gobierno de Qatar debe ser total; no obstante, el texto en español refiere “mientras sean total o parcialmente poseídas por Qatar”.</w:t>
      </w:r>
    </w:p>
    <w:p w14:paraId="4AFA3218" w14:textId="77777777" w:rsidR="0098530D" w:rsidRPr="00AB7CA1" w:rsidRDefault="0098530D" w:rsidP="0098530D">
      <w:pPr>
        <w:pStyle w:val="Texto"/>
        <w:spacing w:line="226" w:lineRule="exact"/>
        <w:ind w:left="2736" w:hanging="1152"/>
      </w:pPr>
      <w:r w:rsidRPr="00AB7CA1">
        <w:lastRenderedPageBreak/>
        <w:tab/>
        <w:t>Asimismo, la parte final de los textos auténticos en español e inglés del Acuerdo en cita, establece que, en caso de cualquier divergencia, prevalecerá el texto en inglés.</w:t>
      </w:r>
    </w:p>
    <w:p w14:paraId="7B609835" w14:textId="77777777" w:rsidR="0098530D" w:rsidRPr="00AB7CA1" w:rsidRDefault="0098530D" w:rsidP="0098530D">
      <w:pPr>
        <w:pStyle w:val="Texto"/>
        <w:spacing w:line="226" w:lineRule="exact"/>
        <w:ind w:left="2736" w:hanging="1152"/>
      </w:pPr>
      <w:r w:rsidRPr="00AB7CA1">
        <w:tab/>
        <w:t>Por lo tanto, para los efectos del artículo 4, primer párrafo de la Ley del ISR, el cumplimiento de lo establecido en el artículo 11, párrafo 3, inciso b) del Acuerdo citado debe efectuarse de conformidad con el texto auténtico en inglés del inciso b) del párrafo y artículo referidos.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37F2D6A2"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43BC331F" w14:textId="77777777" w:rsidR="0098530D" w:rsidRPr="00AB7CA1" w:rsidRDefault="0098530D" w:rsidP="00552502">
            <w:pPr>
              <w:pStyle w:val="Texto"/>
              <w:spacing w:line="226"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6020E7F" w14:textId="77777777" w:rsidR="0098530D" w:rsidRPr="00AB7CA1" w:rsidRDefault="0098530D" w:rsidP="00552502">
            <w:pPr>
              <w:pStyle w:val="Texto"/>
              <w:spacing w:line="226" w:lineRule="exact"/>
              <w:ind w:firstLine="0"/>
              <w:jc w:val="center"/>
              <w:rPr>
                <w:b/>
              </w:rPr>
            </w:pPr>
            <w:r w:rsidRPr="00AB7CA1">
              <w:rPr>
                <w:b/>
              </w:rPr>
              <w:t>Primer antecedente</w:t>
            </w:r>
          </w:p>
        </w:tc>
      </w:tr>
      <w:tr w:rsidR="0098530D" w:rsidRPr="00AB7CA1" w14:paraId="1F0DF94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A20DD0A" w14:textId="77777777" w:rsidR="0098530D" w:rsidRPr="00AB7CA1" w:rsidRDefault="0098530D" w:rsidP="00552502">
            <w:pPr>
              <w:pStyle w:val="Texto"/>
              <w:spacing w:line="226" w:lineRule="exact"/>
              <w:ind w:firstLine="0"/>
            </w:pPr>
            <w:r w:rsidRPr="00AB7CA1">
              <w:t>RMF para 2024</w:t>
            </w:r>
          </w:p>
        </w:tc>
        <w:tc>
          <w:tcPr>
            <w:tcW w:w="3237" w:type="pct"/>
            <w:tcBorders>
              <w:top w:val="single" w:sz="6" w:space="0" w:color="auto"/>
              <w:left w:val="single" w:sz="6" w:space="0" w:color="auto"/>
              <w:bottom w:val="single" w:sz="6" w:space="0" w:color="auto"/>
              <w:right w:val="single" w:sz="6" w:space="0" w:color="auto"/>
            </w:tcBorders>
          </w:tcPr>
          <w:p w14:paraId="59CCC0D1" w14:textId="77777777" w:rsidR="0098530D" w:rsidRPr="00AB7CA1" w:rsidRDefault="0098530D" w:rsidP="00552502">
            <w:pPr>
              <w:pStyle w:val="Texto"/>
              <w:spacing w:line="226" w:lineRule="exact"/>
              <w:ind w:firstLine="0"/>
            </w:pPr>
            <w:r w:rsidRPr="00AB7CA1">
              <w:t>Publicada en el DOF el 29 de diciembre de 2023, Anexo 7, publicado el 05 de enero de 2024.</w:t>
            </w:r>
          </w:p>
        </w:tc>
      </w:tr>
    </w:tbl>
    <w:p w14:paraId="761FF898" w14:textId="77777777" w:rsidR="0098530D" w:rsidRPr="00AB7CA1" w:rsidRDefault="0098530D" w:rsidP="0098530D">
      <w:pPr>
        <w:pStyle w:val="Texto"/>
        <w:spacing w:line="226" w:lineRule="exact"/>
        <w:ind w:left="2736" w:hanging="1152"/>
        <w:rPr>
          <w:b/>
        </w:rPr>
      </w:pPr>
    </w:p>
    <w:p w14:paraId="4390D215" w14:textId="77777777" w:rsidR="0098530D" w:rsidRDefault="0098530D" w:rsidP="0098530D">
      <w:pPr>
        <w:pStyle w:val="Texto"/>
        <w:spacing w:line="226" w:lineRule="exact"/>
        <w:ind w:left="1584" w:hanging="720"/>
        <w:rPr>
          <w:b/>
        </w:rPr>
      </w:pPr>
      <w:r w:rsidRPr="00AB7CA1">
        <w:rPr>
          <w:b/>
        </w:rPr>
        <w:t>III.</w:t>
      </w:r>
      <w:r w:rsidRPr="00AB7CA1">
        <w:rPr>
          <w:b/>
        </w:rPr>
        <w:tab/>
        <w:t>Criterios de la Ley del IVA</w:t>
      </w:r>
    </w:p>
    <w:p w14:paraId="25D85B01" w14:textId="77777777" w:rsidR="0098530D" w:rsidRPr="00AB7CA1" w:rsidRDefault="0098530D" w:rsidP="0098530D">
      <w:pPr>
        <w:pStyle w:val="Texto"/>
        <w:spacing w:line="226" w:lineRule="exact"/>
        <w:ind w:left="2736" w:hanging="1152"/>
        <w:rPr>
          <w:b/>
        </w:rPr>
      </w:pPr>
      <w:r w:rsidRPr="00AB7CA1">
        <w:rPr>
          <w:b/>
        </w:rPr>
        <w:t>1/IVA/N</w:t>
      </w:r>
      <w:r w:rsidRPr="00AB7CA1">
        <w:rPr>
          <w:b/>
        </w:rPr>
        <w:tab/>
        <w:t>La contraprestación pagada con acciones o partes sociales por aportaciones en especie a sociedades mercantiles, se considera efectivamente cobrada con la entrega de las mismas.</w:t>
      </w:r>
    </w:p>
    <w:p w14:paraId="7827F400" w14:textId="77777777" w:rsidR="0098530D" w:rsidRPr="00AB7CA1" w:rsidRDefault="0098530D" w:rsidP="0098530D">
      <w:pPr>
        <w:pStyle w:val="Texto"/>
        <w:spacing w:line="226" w:lineRule="exact"/>
        <w:ind w:left="2736" w:hanging="1152"/>
        <w:rPr>
          <w:lang w:val="es-ES_tradnl"/>
        </w:rPr>
      </w:pPr>
      <w:r w:rsidRPr="00AB7CA1">
        <w:rPr>
          <w:b/>
        </w:rPr>
        <w:tab/>
      </w:r>
      <w:r w:rsidRPr="00AB7CA1">
        <w:rPr>
          <w:lang w:val="es-ES_tradnl"/>
        </w:rPr>
        <w:t>El artículo 1o., fracción I de la Ley del IVA establece que están obligadas al pago del IVA, las personas físicas y las morales que en territorio nacional realicen, entre otros actos o actividades, la enajenación de bienes.</w:t>
      </w:r>
    </w:p>
    <w:p w14:paraId="2FC89E82" w14:textId="77777777" w:rsidR="0098530D" w:rsidRPr="00AB7CA1" w:rsidRDefault="0098530D" w:rsidP="0098530D">
      <w:pPr>
        <w:pStyle w:val="Texto"/>
        <w:spacing w:after="80" w:line="211" w:lineRule="exact"/>
        <w:ind w:left="2736" w:hanging="1152"/>
        <w:rPr>
          <w:lang w:val="es-ES_tradnl"/>
        </w:rPr>
      </w:pPr>
      <w:r w:rsidRPr="00AB7CA1">
        <w:rPr>
          <w:lang w:val="es-ES_tradnl"/>
        </w:rPr>
        <w:tab/>
        <w:t>De conformidad con el artículo 8o. de la Ley del IVA, en relación con el artículo 14, fracción III del CFF, la aportación a una sociedad o asociación se entiende como enajenación.</w:t>
      </w:r>
    </w:p>
    <w:p w14:paraId="3E75BA77" w14:textId="77777777" w:rsidR="0098530D" w:rsidRPr="00AB7CA1" w:rsidRDefault="0098530D" w:rsidP="0098530D">
      <w:pPr>
        <w:pStyle w:val="Texto"/>
        <w:spacing w:after="80" w:line="211" w:lineRule="exact"/>
        <w:ind w:left="2736" w:hanging="1152"/>
        <w:rPr>
          <w:lang w:val="es-ES_tradnl"/>
        </w:rPr>
      </w:pPr>
      <w:r w:rsidRPr="00AB7CA1">
        <w:rPr>
          <w:lang w:val="es-ES_tradnl"/>
        </w:rPr>
        <w:tab/>
        <w:t>El artículo 11 de la Ley del IVA, señala que la enajenación de bienes se considera efectuada en el momento en el que efectivamente se cobren las contraprestaciones y sobre el monto de cada una de ellas.</w:t>
      </w:r>
    </w:p>
    <w:p w14:paraId="457F4DE2" w14:textId="77777777" w:rsidR="0098530D" w:rsidRPr="00AB7CA1" w:rsidRDefault="0098530D" w:rsidP="0098530D">
      <w:pPr>
        <w:pStyle w:val="Texto"/>
        <w:spacing w:after="80" w:line="211" w:lineRule="exact"/>
        <w:ind w:left="2736" w:hanging="1152"/>
        <w:rPr>
          <w:lang w:val="es-ES_tradnl"/>
        </w:rPr>
      </w:pPr>
      <w:r w:rsidRPr="00AB7CA1">
        <w:rPr>
          <w:lang w:val="es-ES_tradnl"/>
        </w:rPr>
        <w:tab/>
        <w:t>En este tenor, el artículo 1o.-B de la ley multicitada, dispone que se consideran efectivamente cobradas las contraprestaciones cuando se reciban en efectivo, en bienes o en servicios, aún cuando aquéllas correspondan a anticipos, depósitos o a cualquier otro concepto sin importar el nombre con el que se les designe; o bien, cuando el interés del acreedor queda satisfecho mediante cualquier forma de extinción de las obligaciones que den lugar a las contraprestaciones.</w:t>
      </w:r>
    </w:p>
    <w:p w14:paraId="3FDBAB19" w14:textId="77777777" w:rsidR="0098530D" w:rsidRPr="00AB7CA1" w:rsidRDefault="0098530D" w:rsidP="0098530D">
      <w:pPr>
        <w:pStyle w:val="Texto"/>
        <w:spacing w:after="80" w:line="211" w:lineRule="exact"/>
        <w:ind w:left="2736" w:hanging="1152"/>
        <w:rPr>
          <w:lang w:val="es-ES_tradnl"/>
        </w:rPr>
      </w:pPr>
      <w:r w:rsidRPr="00AB7CA1">
        <w:rPr>
          <w:lang w:val="es-ES_tradnl"/>
        </w:rPr>
        <w:tab/>
        <w:t>Asimismo, se presume en términos del tercer párrafo de dicho artículo, que los títulos de crédito distintos al cheque suscritos a favor de los contribuyentes, por quien adquiere el bien, recibe el servicio o usa o goza temporalmente el bien, constituye una garantía del pago del precio o la contraprestación pactados, así como del IVA correspondiente a la operación de que se trate. Entendiéndose recibidos ambos conceptos por los contribuyentes cuando efectivamente los cobren, o cuando los contribuyentes transmitan a un tercero los documentos pendientes de cobro, excepto cuando dicha transmisión sea en procuración.</w:t>
      </w:r>
    </w:p>
    <w:p w14:paraId="693FA94F" w14:textId="77777777" w:rsidR="0098530D" w:rsidRDefault="0098530D" w:rsidP="0098530D">
      <w:pPr>
        <w:pStyle w:val="Texto"/>
        <w:spacing w:after="80" w:line="211" w:lineRule="exact"/>
        <w:ind w:left="2736" w:hanging="1152"/>
      </w:pPr>
      <w:r w:rsidRPr="00AB7CA1">
        <w:rPr>
          <w:lang w:val="es-ES_tradnl"/>
        </w:rPr>
        <w:tab/>
      </w:r>
      <w:r w:rsidRPr="00AB7CA1">
        <w:t>Por tanto, cuando una sociedad emita acciones o partes sociales a favor del accionista o socio que realizó la aportación en especie, para efectos de la Ley del IVA, dicha contraprestación estará efectivamente cobrada en el momento en que ocurra el primer acto jurídico que le otorgue la calidad de socio o accionista respecto de dicha aportación, en virtud de que la presunción establecida en el artículo 1o.-B, tercer párrafo de la Ley del IVA, no aplica a las acciones o partes sociales, toda vez que constituyen bienes por cuya naturaleza no se entregan en garantía.</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507F1BA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4A4F23A0" w14:textId="77777777" w:rsidR="0098530D" w:rsidRPr="00AB7CA1" w:rsidRDefault="0098530D" w:rsidP="00552502">
            <w:pPr>
              <w:pStyle w:val="Texto"/>
              <w:spacing w:after="80" w:line="211"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916887D" w14:textId="77777777" w:rsidR="0098530D" w:rsidRPr="00AB7CA1" w:rsidRDefault="0098530D" w:rsidP="00552502">
            <w:pPr>
              <w:pStyle w:val="Texto"/>
              <w:spacing w:after="80" w:line="211" w:lineRule="exact"/>
              <w:ind w:firstLine="0"/>
              <w:jc w:val="center"/>
              <w:rPr>
                <w:b/>
              </w:rPr>
            </w:pPr>
            <w:r w:rsidRPr="00AB7CA1">
              <w:rPr>
                <w:b/>
              </w:rPr>
              <w:t>Primer antecedente</w:t>
            </w:r>
          </w:p>
        </w:tc>
      </w:tr>
      <w:tr w:rsidR="0098530D" w:rsidRPr="00AB7CA1" w14:paraId="1549602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7555D6B" w14:textId="77777777" w:rsidR="0098530D" w:rsidRPr="00AB7CA1" w:rsidRDefault="0098530D" w:rsidP="00552502">
            <w:pPr>
              <w:pStyle w:val="Texto"/>
              <w:spacing w:after="80" w:line="211" w:lineRule="exact"/>
              <w:ind w:firstLine="0"/>
            </w:pPr>
            <w:r w:rsidRPr="00AB7CA1">
              <w:lastRenderedPageBreak/>
              <w:t>2012</w:t>
            </w:r>
          </w:p>
        </w:tc>
        <w:tc>
          <w:tcPr>
            <w:tcW w:w="3237" w:type="pct"/>
            <w:tcBorders>
              <w:top w:val="single" w:sz="6" w:space="0" w:color="auto"/>
              <w:left w:val="single" w:sz="6" w:space="0" w:color="auto"/>
              <w:bottom w:val="single" w:sz="6" w:space="0" w:color="auto"/>
              <w:right w:val="single" w:sz="6" w:space="0" w:color="auto"/>
            </w:tcBorders>
          </w:tcPr>
          <w:p w14:paraId="60ED93BB" w14:textId="77777777" w:rsidR="0098530D" w:rsidRPr="00AB7CA1" w:rsidRDefault="0098530D" w:rsidP="00552502">
            <w:pPr>
              <w:pStyle w:val="Texto"/>
              <w:spacing w:after="80" w:line="211" w:lineRule="exact"/>
              <w:ind w:firstLine="0"/>
            </w:pPr>
            <w:r w:rsidRPr="00AB7CA1">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99/2012/IVA.</w:t>
            </w:r>
          </w:p>
        </w:tc>
      </w:tr>
    </w:tbl>
    <w:p w14:paraId="3AFB5FC3" w14:textId="77777777" w:rsidR="0098530D" w:rsidRPr="00AB7CA1" w:rsidRDefault="0098530D" w:rsidP="0098530D">
      <w:pPr>
        <w:pStyle w:val="Texto"/>
        <w:spacing w:after="80" w:line="211" w:lineRule="exact"/>
        <w:ind w:left="2736" w:hanging="1152"/>
        <w:rPr>
          <w:b/>
        </w:rPr>
      </w:pPr>
    </w:p>
    <w:p w14:paraId="58958545" w14:textId="77777777" w:rsidR="0098530D" w:rsidRPr="00AB7CA1" w:rsidRDefault="0098530D" w:rsidP="0098530D">
      <w:pPr>
        <w:pStyle w:val="Texto"/>
        <w:spacing w:after="80" w:line="211" w:lineRule="exact"/>
        <w:ind w:left="2736" w:hanging="1152"/>
        <w:rPr>
          <w:b/>
        </w:rPr>
      </w:pPr>
      <w:r w:rsidRPr="00AB7CA1">
        <w:rPr>
          <w:b/>
        </w:rPr>
        <w:t>2/IVA/N</w:t>
      </w:r>
      <w:r w:rsidRPr="00AB7CA1">
        <w:rPr>
          <w:b/>
        </w:rPr>
        <w:tab/>
        <w:t>Indemnización por cheque no pagado. El monto de la misma no es objeto del IVA.</w:t>
      </w:r>
    </w:p>
    <w:p w14:paraId="7B268234" w14:textId="77777777" w:rsidR="0098530D" w:rsidRPr="00AB7CA1" w:rsidRDefault="0098530D" w:rsidP="0098530D">
      <w:pPr>
        <w:pStyle w:val="Texto"/>
        <w:spacing w:after="80" w:line="211" w:lineRule="exact"/>
        <w:ind w:left="2736" w:hanging="1152"/>
        <w:rPr>
          <w:lang w:val="es-ES_tradnl"/>
        </w:rPr>
      </w:pPr>
      <w:r w:rsidRPr="00AB7CA1">
        <w:rPr>
          <w:b/>
        </w:rPr>
        <w:tab/>
      </w:r>
      <w:r w:rsidRPr="00AB7CA1">
        <w:rPr>
          <w:lang w:val="es-ES_tradnl"/>
        </w:rPr>
        <w:t>El artículo 1 de la Ley del IVA establece que están obligados al pago de dicho impuesto las personas físicas y morales que en territorio nacional enajenen bienes, presten servicios independientes, otorguen el uso o goce temporal de bienes o importen bienes o servicios.</w:t>
      </w:r>
    </w:p>
    <w:p w14:paraId="0F5DF270" w14:textId="77777777" w:rsidR="0098530D" w:rsidRPr="00AB7CA1" w:rsidRDefault="0098530D" w:rsidP="0098530D">
      <w:pPr>
        <w:pStyle w:val="Texto"/>
        <w:spacing w:after="80" w:line="211" w:lineRule="exact"/>
        <w:ind w:left="2736" w:hanging="1152"/>
        <w:rPr>
          <w:lang w:val="es-ES_tradnl"/>
        </w:rPr>
      </w:pPr>
      <w:r w:rsidRPr="00AB7CA1">
        <w:rPr>
          <w:lang w:val="es-ES_tradnl"/>
        </w:rPr>
        <w:tab/>
        <w:t>El artículo 193 de la Ley General de Títulos y Operaciones de Crédito dispone que el librador de un cheque presentado en tiempo y no pagado, por causa imputable al propio librador, resarcirá al tenedor los daños y perjuicios que con ello le ocasione y que en ningún caso, la indemnización será menor del veinte por ciento del valor del cheque.</w:t>
      </w:r>
    </w:p>
    <w:p w14:paraId="222A7BBF" w14:textId="77777777" w:rsidR="0098530D" w:rsidRPr="00AB7CA1" w:rsidRDefault="0098530D" w:rsidP="0098530D">
      <w:pPr>
        <w:pStyle w:val="Texto"/>
        <w:spacing w:after="80" w:line="211" w:lineRule="exact"/>
        <w:ind w:left="2736" w:hanging="1152"/>
        <w:rPr>
          <w:lang w:val="es-ES_tradnl"/>
        </w:rPr>
      </w:pPr>
      <w:r w:rsidRPr="00AB7CA1">
        <w:rPr>
          <w:lang w:val="es-ES_tradnl"/>
        </w:rPr>
        <w:tab/>
        <w:t>En consecuencia, en el caso de que un cheque librado para cubrir el valor de actos o actividades gravadas por la Ley del IVA, no sea pagado por causas imputables al librador y, por consiguiente, el tenedor reciba la indemnización establecida en el artículo 193 de la Ley General de Títulos y Operaciones de Crédito, dicha indemnización no formará parte de la base para el cálculo del IVA, debido a que esta no deriva del acto o actividad celebrado por el tenedor, sino de la aplicación de la Ley General de Títulos y Operaciones de Crédito.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34A44D2"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2DA05AF" w14:textId="77777777" w:rsidR="0098530D" w:rsidRPr="00AB7CA1" w:rsidRDefault="0098530D" w:rsidP="00552502">
            <w:pPr>
              <w:pStyle w:val="Texto"/>
              <w:spacing w:line="226"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1118E65D" w14:textId="77777777" w:rsidR="0098530D" w:rsidRPr="00AB7CA1" w:rsidRDefault="0098530D" w:rsidP="00552502">
            <w:pPr>
              <w:pStyle w:val="Texto"/>
              <w:spacing w:line="226" w:lineRule="exact"/>
              <w:ind w:firstLine="0"/>
              <w:jc w:val="center"/>
              <w:rPr>
                <w:b/>
              </w:rPr>
            </w:pPr>
            <w:r w:rsidRPr="00AB7CA1">
              <w:rPr>
                <w:b/>
              </w:rPr>
              <w:t>Primer antecedente</w:t>
            </w:r>
          </w:p>
        </w:tc>
      </w:tr>
      <w:tr w:rsidR="0098530D" w:rsidRPr="00AB7CA1" w14:paraId="782365D5"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533EE742" w14:textId="77777777" w:rsidR="0098530D" w:rsidRPr="00AB7CA1" w:rsidRDefault="0098530D" w:rsidP="00552502">
            <w:pPr>
              <w:pStyle w:val="Texto"/>
              <w:spacing w:line="226" w:lineRule="exact"/>
              <w:ind w:firstLine="0"/>
            </w:pPr>
            <w:r w:rsidRPr="00AB7CA1">
              <w:t>Supuesto 38</w:t>
            </w:r>
          </w:p>
        </w:tc>
        <w:tc>
          <w:tcPr>
            <w:tcW w:w="3237" w:type="pct"/>
            <w:tcBorders>
              <w:top w:val="single" w:sz="6" w:space="0" w:color="auto"/>
              <w:left w:val="single" w:sz="6" w:space="0" w:color="auto"/>
              <w:bottom w:val="single" w:sz="6" w:space="0" w:color="auto"/>
              <w:right w:val="single" w:sz="6" w:space="0" w:color="auto"/>
            </w:tcBorders>
          </w:tcPr>
          <w:p w14:paraId="2F3AA6F2" w14:textId="77777777" w:rsidR="0098530D" w:rsidRPr="00AB7CA1" w:rsidRDefault="0098530D" w:rsidP="00552502">
            <w:pPr>
              <w:pStyle w:val="Texto"/>
              <w:spacing w:line="226" w:lineRule="exact"/>
              <w:ind w:firstLine="0"/>
            </w:pPr>
            <w:r w:rsidRPr="00AB7CA1">
              <w:t>Página 24 del Manual de Complementación Legal del IVA 1988, criterios 5.1.4 contenido en el oficio 325-SAT-IV-C-7363 de 23 de septiembre de 1997, a través del cual se emite la Primera Actualización de la Compilación Sustantiva de Impuestos Internos.</w:t>
            </w:r>
          </w:p>
        </w:tc>
      </w:tr>
    </w:tbl>
    <w:p w14:paraId="01068702" w14:textId="77777777" w:rsidR="0098530D" w:rsidRPr="00AB7CA1" w:rsidRDefault="0098530D" w:rsidP="0098530D">
      <w:pPr>
        <w:pStyle w:val="Texto"/>
        <w:spacing w:line="226" w:lineRule="exact"/>
        <w:rPr>
          <w:b/>
        </w:rPr>
      </w:pPr>
    </w:p>
    <w:p w14:paraId="7275F71E" w14:textId="77777777" w:rsidR="0098530D" w:rsidRPr="00AB7CA1" w:rsidRDefault="0098530D" w:rsidP="0098530D">
      <w:pPr>
        <w:pStyle w:val="Texto"/>
        <w:spacing w:line="226" w:lineRule="exact"/>
        <w:ind w:left="2736" w:hanging="1152"/>
        <w:rPr>
          <w:b/>
          <w:lang w:val="es-ES_tradnl"/>
        </w:rPr>
      </w:pPr>
      <w:r w:rsidRPr="00AB7CA1">
        <w:rPr>
          <w:b/>
        </w:rPr>
        <w:t>3/IVA/N</w:t>
      </w:r>
      <w:r w:rsidRPr="00AB7CA1">
        <w:rPr>
          <w:b/>
        </w:rPr>
        <w:tab/>
      </w:r>
      <w:r w:rsidRPr="00AB7CA1">
        <w:rPr>
          <w:b/>
          <w:lang w:val="es-ES_tradnl"/>
        </w:rPr>
        <w:t>Retenciones del IVA. No proceden por servicios prestados como actividad empresarial.</w:t>
      </w:r>
    </w:p>
    <w:p w14:paraId="32963E39" w14:textId="77777777" w:rsidR="0098530D" w:rsidRPr="00AB7CA1" w:rsidRDefault="0098530D" w:rsidP="0098530D">
      <w:pPr>
        <w:pStyle w:val="Texto"/>
        <w:spacing w:line="226" w:lineRule="exact"/>
        <w:ind w:left="2736" w:hanging="1152"/>
        <w:rPr>
          <w:lang w:val="es-ES_tradnl"/>
        </w:rPr>
      </w:pPr>
      <w:r w:rsidRPr="00AB7CA1">
        <w:rPr>
          <w:b/>
          <w:lang w:val="es-ES_tradnl"/>
        </w:rPr>
        <w:tab/>
      </w:r>
      <w:r w:rsidRPr="00AB7CA1">
        <w:rPr>
          <w:lang w:val="es-ES_tradnl"/>
        </w:rPr>
        <w:t>El artículo 1o.-A, fracción II, inciso a) de la Ley del IVA establece que las personas morales que reciban servicios personales independientes, o usen o gocen temporalmente bienes prestados u otorgados por personas físicas, están obligadas a retener el impuesto que se les traslade.</w:t>
      </w:r>
    </w:p>
    <w:p w14:paraId="48DDED8B" w14:textId="77777777" w:rsidR="0098530D" w:rsidRPr="00AB7CA1" w:rsidRDefault="0098530D" w:rsidP="0098530D">
      <w:pPr>
        <w:pStyle w:val="Texto"/>
        <w:spacing w:line="226" w:lineRule="exact"/>
        <w:ind w:left="2736" w:hanging="1152"/>
        <w:rPr>
          <w:lang w:val="es-ES_tradnl"/>
        </w:rPr>
      </w:pPr>
      <w:r w:rsidRPr="00AB7CA1">
        <w:rPr>
          <w:lang w:val="es-ES_tradnl"/>
        </w:rPr>
        <w:tab/>
        <w:t>El artículo 14, último párrafo de la misma ley define que la prestación de servicios independientes tiene la característica de personal cuando no tenga naturaleza de actividad empresarial.</w:t>
      </w:r>
    </w:p>
    <w:p w14:paraId="04EEC95D" w14:textId="77777777" w:rsidR="0098530D" w:rsidRPr="00AB7CA1" w:rsidRDefault="0098530D" w:rsidP="0098530D">
      <w:pPr>
        <w:pStyle w:val="Texto"/>
        <w:spacing w:line="226" w:lineRule="exact"/>
        <w:ind w:left="2736" w:hanging="1152"/>
        <w:rPr>
          <w:lang w:val="es-ES_tradnl"/>
        </w:rPr>
      </w:pPr>
      <w:r w:rsidRPr="00AB7CA1">
        <w:rPr>
          <w:lang w:val="es-ES_tradnl"/>
        </w:rPr>
        <w:tab/>
        <w:t>Por lo anterior, tratándose de prestación de servicios, la retención del IVA únicamente se efectuará cuando el servicio se considere personal, esto es, que no tenga la característica de actividad empresarial, en términos del artículo 16 del CFF.</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780C5C2"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7AF9C6C" w14:textId="77777777" w:rsidR="0098530D" w:rsidRPr="00AB7CA1" w:rsidRDefault="0098530D" w:rsidP="00552502">
            <w:pPr>
              <w:pStyle w:val="Texto"/>
              <w:spacing w:line="226"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0710B873" w14:textId="77777777" w:rsidR="0098530D" w:rsidRPr="00AB7CA1" w:rsidRDefault="0098530D" w:rsidP="00552502">
            <w:pPr>
              <w:pStyle w:val="Texto"/>
              <w:spacing w:line="226" w:lineRule="exact"/>
              <w:ind w:firstLine="0"/>
              <w:jc w:val="center"/>
              <w:rPr>
                <w:b/>
              </w:rPr>
            </w:pPr>
            <w:r w:rsidRPr="00AB7CA1">
              <w:rPr>
                <w:b/>
              </w:rPr>
              <w:t>Primer antecedente</w:t>
            </w:r>
          </w:p>
        </w:tc>
      </w:tr>
      <w:tr w:rsidR="0098530D" w:rsidRPr="00AB7CA1" w14:paraId="3BF8A3D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22F5CE0" w14:textId="77777777" w:rsidR="0098530D" w:rsidRPr="00AB7CA1" w:rsidRDefault="0098530D" w:rsidP="00552502">
            <w:pPr>
              <w:pStyle w:val="Texto"/>
              <w:spacing w:line="226" w:lineRule="exact"/>
              <w:ind w:firstLine="0"/>
            </w:pPr>
            <w:r w:rsidRPr="00AB7CA1">
              <w:lastRenderedPageBreak/>
              <w:t>25/2001/IVA</w:t>
            </w:r>
          </w:p>
        </w:tc>
        <w:tc>
          <w:tcPr>
            <w:tcW w:w="3237" w:type="pct"/>
            <w:tcBorders>
              <w:top w:val="single" w:sz="6" w:space="0" w:color="auto"/>
              <w:left w:val="single" w:sz="6" w:space="0" w:color="auto"/>
              <w:bottom w:val="single" w:sz="6" w:space="0" w:color="auto"/>
              <w:right w:val="single" w:sz="6" w:space="0" w:color="auto"/>
            </w:tcBorders>
          </w:tcPr>
          <w:p w14:paraId="3E0AB619" w14:textId="77777777" w:rsidR="0098530D" w:rsidRPr="00AB7CA1" w:rsidRDefault="0098530D" w:rsidP="00552502">
            <w:pPr>
              <w:pStyle w:val="Texto"/>
              <w:spacing w:line="226" w:lineRule="exact"/>
              <w:ind w:firstLine="0"/>
            </w:pPr>
            <w:r w:rsidRPr="00AB7CA1">
              <w:t>Oficio 325-SAT-A-31123 de 14 de septiembre de 2001 mediante el cual se da a conocer la nueva Compilación de Criterios Normativos 2001.</w:t>
            </w:r>
          </w:p>
        </w:tc>
      </w:tr>
    </w:tbl>
    <w:p w14:paraId="4CB14E62" w14:textId="77777777" w:rsidR="0098530D" w:rsidRPr="00AB7CA1" w:rsidRDefault="0098530D" w:rsidP="0098530D">
      <w:pPr>
        <w:pStyle w:val="Texto"/>
        <w:spacing w:line="226" w:lineRule="exact"/>
        <w:ind w:left="2736" w:hanging="1152"/>
        <w:rPr>
          <w:b/>
        </w:rPr>
      </w:pPr>
    </w:p>
    <w:p w14:paraId="4918EE0D" w14:textId="77777777" w:rsidR="0098530D" w:rsidRPr="00AB7CA1" w:rsidRDefault="0098530D" w:rsidP="0098530D">
      <w:pPr>
        <w:pStyle w:val="Texto"/>
        <w:spacing w:line="226" w:lineRule="exact"/>
        <w:ind w:left="2736" w:hanging="1152"/>
        <w:rPr>
          <w:b/>
          <w:lang w:val="es-ES_tradnl"/>
        </w:rPr>
      </w:pPr>
      <w:r w:rsidRPr="00AB7CA1">
        <w:rPr>
          <w:b/>
        </w:rPr>
        <w:t>4/IVA/N</w:t>
      </w:r>
      <w:r w:rsidRPr="00AB7CA1">
        <w:rPr>
          <w:b/>
        </w:rPr>
        <w:tab/>
      </w:r>
      <w:r w:rsidRPr="00AB7CA1">
        <w:rPr>
          <w:b/>
          <w:lang w:val="es-ES_tradnl"/>
        </w:rPr>
        <w:t>Servicios de mensajería y paquetería. No se encuentran sujetos a la retención del IVA.</w:t>
      </w:r>
    </w:p>
    <w:p w14:paraId="5C714A81" w14:textId="77777777" w:rsidR="0098530D" w:rsidRPr="00AB7CA1" w:rsidRDefault="0098530D" w:rsidP="0098530D">
      <w:pPr>
        <w:pStyle w:val="Texto"/>
        <w:spacing w:line="226" w:lineRule="exact"/>
        <w:ind w:left="2736" w:hanging="1152"/>
        <w:rPr>
          <w:lang w:val="es-ES_tradnl"/>
        </w:rPr>
      </w:pPr>
      <w:r w:rsidRPr="00AB7CA1">
        <w:rPr>
          <w:b/>
          <w:lang w:val="es-ES_tradnl"/>
        </w:rPr>
        <w:tab/>
      </w:r>
      <w:r w:rsidRPr="00AB7CA1">
        <w:rPr>
          <w:lang w:val="es-ES_tradnl"/>
        </w:rPr>
        <w:t>El artículo 1o.-A, fracción II, inciso c) de la Ley del IVA establece que están obligados a efectuar la retención del impuesto que se les traslade, los contribuyentes personas morales que reciban servicios de autotransporte terrestre de bienes prestados por personas físicas o morales.</w:t>
      </w:r>
    </w:p>
    <w:p w14:paraId="01441248" w14:textId="77777777" w:rsidR="0098530D" w:rsidRPr="00AB7CA1" w:rsidRDefault="0098530D" w:rsidP="0098530D">
      <w:pPr>
        <w:pStyle w:val="Texto"/>
        <w:spacing w:line="226" w:lineRule="exact"/>
        <w:ind w:left="2736" w:hanging="1152"/>
        <w:rPr>
          <w:lang w:val="es-ES_tradnl"/>
        </w:rPr>
      </w:pPr>
      <w:r w:rsidRPr="00AB7CA1">
        <w:rPr>
          <w:lang w:val="es-ES_tradnl"/>
        </w:rPr>
        <w:tab/>
        <w:t>El artículo 5o., segundo párrafo del CFF dispone que a falta de norma fiscal expresa, se aplicarán supletoriamente las disposiciones del derecho federal común cuando su aplicación no sea contraria a la naturaleza propia del derecho fiscal.</w:t>
      </w:r>
    </w:p>
    <w:p w14:paraId="2B7DF859" w14:textId="77777777" w:rsidR="0098530D" w:rsidRPr="00AB7CA1" w:rsidRDefault="0098530D" w:rsidP="0098530D">
      <w:pPr>
        <w:pStyle w:val="Texto"/>
        <w:spacing w:line="226" w:lineRule="exact"/>
        <w:ind w:left="2736" w:hanging="1152"/>
        <w:rPr>
          <w:lang w:val="es-ES_tradnl"/>
        </w:rPr>
      </w:pPr>
      <w:r w:rsidRPr="00AB7CA1">
        <w:rPr>
          <w:lang w:val="es-ES_tradnl"/>
        </w:rPr>
        <w:tab/>
        <w:t>El artículo 2o., fracción VII de la Ley de Caminos, Puentes y Autotransporte Federal, determina que los servicios auxiliares son aquéllos que sin formar parte del autotransporte federal de pasajeros, turismo o carga, complementan su operación y explotación.</w:t>
      </w:r>
    </w:p>
    <w:p w14:paraId="1AAD3DE9" w14:textId="77777777" w:rsidR="0098530D" w:rsidRPr="00AB7CA1" w:rsidRDefault="0098530D" w:rsidP="0098530D">
      <w:pPr>
        <w:pStyle w:val="Texto"/>
        <w:spacing w:line="226" w:lineRule="exact"/>
        <w:ind w:left="2736" w:hanging="1152"/>
        <w:rPr>
          <w:lang w:val="es-ES_tradnl"/>
        </w:rPr>
      </w:pPr>
      <w:r w:rsidRPr="00AB7CA1">
        <w:rPr>
          <w:lang w:val="es-ES_tradnl"/>
        </w:rPr>
        <w:tab/>
        <w:t>El artículo 52, fracción V de la Ley de Caminos, Puentes y Autotransporte Federal, señala a la mensajería y paquetería como un servicio auxiliar al autotransporte federal.</w:t>
      </w:r>
    </w:p>
    <w:p w14:paraId="032CCEE1" w14:textId="77777777" w:rsidR="0098530D" w:rsidRDefault="0098530D" w:rsidP="0098530D">
      <w:pPr>
        <w:pStyle w:val="Texto"/>
        <w:spacing w:line="226" w:lineRule="exact"/>
        <w:ind w:left="2736" w:hanging="1152"/>
        <w:rPr>
          <w:lang w:val="es-ES_tradnl"/>
        </w:rPr>
      </w:pPr>
      <w:r w:rsidRPr="00AB7CA1">
        <w:rPr>
          <w:lang w:val="es-ES_tradnl"/>
        </w:rPr>
        <w:tab/>
        <w:t>Por lo anterior, se considera que las personas morales que reciben servicios de mensajería o paquetería prestados por personas físicas o morales, no se ubican en el supuesto jurídico establecido en el artículo 1-A, fracción II, inciso c) de la Ley del IVA, respecto de la obligación de efectuar la retención del impuesto que se traslade, ya que dichos servicios de mensajería o paquetería no constituyen un servicio de autotransporte federal de carga, sino un servicio auxiliar de este, de conformidad con la Ley de Caminos, Puentes y Autotransporte Federal.</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984DB2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909448C" w14:textId="77777777" w:rsidR="0098530D" w:rsidRPr="00AB7CA1" w:rsidRDefault="0098530D" w:rsidP="00552502">
            <w:pPr>
              <w:pStyle w:val="Texto"/>
              <w:spacing w:after="80" w:line="212"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39796E7" w14:textId="77777777" w:rsidR="0098530D" w:rsidRPr="00AB7CA1" w:rsidRDefault="0098530D" w:rsidP="00552502">
            <w:pPr>
              <w:pStyle w:val="Texto"/>
              <w:spacing w:after="80" w:line="212" w:lineRule="exact"/>
              <w:ind w:firstLine="0"/>
              <w:jc w:val="center"/>
              <w:rPr>
                <w:b/>
              </w:rPr>
            </w:pPr>
            <w:r w:rsidRPr="00AB7CA1">
              <w:rPr>
                <w:b/>
              </w:rPr>
              <w:t>Primer antecedente</w:t>
            </w:r>
          </w:p>
        </w:tc>
      </w:tr>
      <w:tr w:rsidR="0098530D" w:rsidRPr="00AB7CA1" w14:paraId="79D86067"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8D8730F" w14:textId="77777777" w:rsidR="0098530D" w:rsidRPr="00AB7CA1" w:rsidRDefault="0098530D" w:rsidP="00552502">
            <w:pPr>
              <w:pStyle w:val="Texto"/>
              <w:spacing w:after="80" w:line="212" w:lineRule="exact"/>
              <w:ind w:firstLine="0"/>
            </w:pPr>
            <w:r w:rsidRPr="00AB7CA1">
              <w:t>138/2004/IVA</w:t>
            </w:r>
          </w:p>
        </w:tc>
        <w:tc>
          <w:tcPr>
            <w:tcW w:w="3237" w:type="pct"/>
            <w:tcBorders>
              <w:top w:val="single" w:sz="6" w:space="0" w:color="auto"/>
              <w:left w:val="single" w:sz="6" w:space="0" w:color="auto"/>
              <w:bottom w:val="single" w:sz="6" w:space="0" w:color="auto"/>
              <w:right w:val="single" w:sz="6" w:space="0" w:color="auto"/>
            </w:tcBorders>
          </w:tcPr>
          <w:p w14:paraId="32C2E503" w14:textId="77777777" w:rsidR="0098530D" w:rsidRPr="00AB7CA1" w:rsidRDefault="0098530D" w:rsidP="00552502">
            <w:pPr>
              <w:pStyle w:val="Texto"/>
              <w:spacing w:after="80" w:line="212" w:lineRule="exact"/>
              <w:ind w:firstLine="0"/>
            </w:pPr>
            <w:r w:rsidRPr="00AB7CA1">
              <w:t>Oficio 325-SAT-IV-B-92423 de 17 de diciembre de 2004, mediante el cual se emite la Primera Modificación a la compilación de criterios normativos, Boletín 2004.</w:t>
            </w:r>
          </w:p>
        </w:tc>
      </w:tr>
    </w:tbl>
    <w:p w14:paraId="7CF75815" w14:textId="77777777" w:rsidR="0098530D" w:rsidRPr="00AB7CA1" w:rsidRDefault="0098530D" w:rsidP="0098530D">
      <w:pPr>
        <w:pStyle w:val="Texto"/>
        <w:spacing w:after="80" w:line="212" w:lineRule="exact"/>
        <w:rPr>
          <w:b/>
        </w:rPr>
      </w:pPr>
    </w:p>
    <w:p w14:paraId="37FB29D2" w14:textId="77777777" w:rsidR="0098530D" w:rsidRPr="00AB7CA1" w:rsidRDefault="0098530D" w:rsidP="0098530D">
      <w:pPr>
        <w:pStyle w:val="Texto"/>
        <w:spacing w:after="80" w:line="212" w:lineRule="exact"/>
        <w:ind w:left="2736" w:hanging="1152"/>
        <w:rPr>
          <w:b/>
        </w:rPr>
      </w:pPr>
      <w:r w:rsidRPr="00AB7CA1">
        <w:rPr>
          <w:b/>
        </w:rPr>
        <w:t>5/IVA/N</w:t>
      </w:r>
      <w:r w:rsidRPr="00AB7CA1">
        <w:rPr>
          <w:b/>
        </w:rPr>
        <w:tab/>
        <w:t>Transmisión de deudas. Momento en que se considera efectivamente cobrada la contraprestación y pagado el impuesto.</w:t>
      </w:r>
    </w:p>
    <w:p w14:paraId="3980316F" w14:textId="77777777" w:rsidR="0098530D" w:rsidRPr="00AB7CA1" w:rsidRDefault="0098530D" w:rsidP="0098530D">
      <w:pPr>
        <w:pStyle w:val="Texto"/>
        <w:spacing w:after="80" w:line="212" w:lineRule="exact"/>
        <w:ind w:left="2736" w:hanging="1152"/>
      </w:pPr>
      <w:r w:rsidRPr="00AB7CA1">
        <w:rPr>
          <w:b/>
        </w:rPr>
        <w:tab/>
      </w:r>
      <w:r w:rsidRPr="00AB7CA1">
        <w:t>El artículo 1o.-B, último párrafo de la Ley del IVA establece que cuando con motivo de la enajenación de bienes los contribuyentes reciban documentos o vales, respecto de los cuales un tercero asuma la obligación de pago, se considerará que el valor de las actividades respectivas, así como el IVA correspondiente, fue efectivamente pagado en la fecha en que dichos documentos sean recibidos o aceptados por los contribuyentes.</w:t>
      </w:r>
    </w:p>
    <w:p w14:paraId="05F5487E" w14:textId="77777777" w:rsidR="0098530D" w:rsidRPr="00AB7CA1" w:rsidRDefault="0098530D" w:rsidP="0098530D">
      <w:pPr>
        <w:pStyle w:val="Texto"/>
        <w:spacing w:after="80" w:line="212" w:lineRule="exact"/>
        <w:ind w:left="2736" w:hanging="1152"/>
        <w:rPr>
          <w:lang w:val="es-ES_tradnl"/>
        </w:rPr>
      </w:pPr>
      <w:r w:rsidRPr="00AB7CA1">
        <w:tab/>
        <w:t>El artículo 2055 del Código Civil Federal señala que el deudor sustituto queda obligado en los términos en que lo estaba el deudor primitivo, asimismo el artículo 2053 del ordenamiento en cita establece que el acreedor que exonera al antiguo deudor, aceptando a otro en su lugar, no puede repetir contra el primero, si el nuevo se encuentra insolvente, salvo pacto en contrario</w:t>
      </w:r>
      <w:r w:rsidRPr="00AB7CA1">
        <w:rPr>
          <w:lang w:val="es-ES_tradnl"/>
        </w:rPr>
        <w:t>.</w:t>
      </w:r>
    </w:p>
    <w:p w14:paraId="2DEAC318" w14:textId="77777777" w:rsidR="0098530D" w:rsidRPr="00AB7CA1" w:rsidRDefault="0098530D" w:rsidP="0098530D">
      <w:pPr>
        <w:pStyle w:val="Texto"/>
        <w:spacing w:after="80" w:line="212" w:lineRule="exact"/>
        <w:ind w:left="2736" w:hanging="1152"/>
      </w:pPr>
      <w:r w:rsidRPr="00AB7CA1">
        <w:rPr>
          <w:lang w:val="es-ES_tradnl"/>
        </w:rPr>
        <w:tab/>
      </w:r>
      <w:r w:rsidRPr="00AB7CA1">
        <w:t xml:space="preserve">El artículo 2051 del Código Civil Federal dispone que para que haya sustitución de deudor es necesario que el acreedor consienta expresa o tácitamente, en tanto que el artículo 2052 señala que se presume que el </w:t>
      </w:r>
      <w:r w:rsidRPr="00AB7CA1">
        <w:lastRenderedPageBreak/>
        <w:t>acreedor consiente en la sustitución del deudor, cuando permite que el sustituto ejecute actos que deba ejecutar el deudor, siempre que lo haga en nombre propio y no por cuenta del deudor primitivo.</w:t>
      </w:r>
    </w:p>
    <w:p w14:paraId="224B47D6" w14:textId="77777777" w:rsidR="0098530D" w:rsidRPr="00AB7CA1" w:rsidRDefault="0098530D" w:rsidP="0098530D">
      <w:pPr>
        <w:pStyle w:val="Texto"/>
        <w:spacing w:after="80" w:line="212" w:lineRule="exact"/>
        <w:ind w:left="2736" w:hanging="1152"/>
      </w:pPr>
      <w:r w:rsidRPr="00AB7CA1">
        <w:tab/>
        <w:t>De la interpretación armónica a los preceptos referidos en los párrafos precedentes, tratándose de enajenación de bienes, cuando un tercero asuma la obligación de pago, se considera que el valor del precio o contraprestación, así como el IVA correspondiente, fue efectivamente pagado en la fecha en que el contribuyente acepte expresa o tácitamente la sustitución del deudor, es decir, se acepte la ejecución por parte del deudor sustituto de las obligaciones que corresponderían al deudor primitivo, salvo pacto en contrario en el que el contribuyente se reserve el derecho de repetir contra el deudor primitivo.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5C1F2EB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3D0FA799" w14:textId="77777777" w:rsidR="0098530D" w:rsidRPr="00AB7CA1" w:rsidRDefault="0098530D" w:rsidP="00552502">
            <w:pPr>
              <w:pStyle w:val="Texto"/>
              <w:spacing w:after="80" w:line="212"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1C9D5DAB" w14:textId="77777777" w:rsidR="0098530D" w:rsidRPr="00AB7CA1" w:rsidRDefault="0098530D" w:rsidP="00552502">
            <w:pPr>
              <w:pStyle w:val="Texto"/>
              <w:spacing w:after="80" w:line="212" w:lineRule="exact"/>
              <w:ind w:firstLine="0"/>
              <w:jc w:val="center"/>
              <w:rPr>
                <w:b/>
              </w:rPr>
            </w:pPr>
            <w:r w:rsidRPr="00AB7CA1">
              <w:rPr>
                <w:b/>
              </w:rPr>
              <w:t>Primer antecedente</w:t>
            </w:r>
          </w:p>
        </w:tc>
      </w:tr>
      <w:tr w:rsidR="0098530D" w:rsidRPr="00AB7CA1" w14:paraId="4D5F23A8"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3508BF5" w14:textId="77777777" w:rsidR="0098530D" w:rsidRPr="00AB7CA1" w:rsidRDefault="0098530D" w:rsidP="00552502">
            <w:pPr>
              <w:pStyle w:val="Texto"/>
              <w:spacing w:after="80" w:line="212" w:lineRule="exact"/>
              <w:ind w:firstLine="0"/>
            </w:pPr>
            <w:r w:rsidRPr="00AB7CA1">
              <w:t>72/2007/IVA</w:t>
            </w:r>
          </w:p>
        </w:tc>
        <w:tc>
          <w:tcPr>
            <w:tcW w:w="3237" w:type="pct"/>
            <w:tcBorders>
              <w:top w:val="single" w:sz="6" w:space="0" w:color="auto"/>
              <w:left w:val="single" w:sz="6" w:space="0" w:color="auto"/>
              <w:bottom w:val="single" w:sz="6" w:space="0" w:color="auto"/>
              <w:right w:val="single" w:sz="6" w:space="0" w:color="auto"/>
            </w:tcBorders>
          </w:tcPr>
          <w:p w14:paraId="34160F8B" w14:textId="77777777" w:rsidR="0098530D" w:rsidRPr="00AB7CA1" w:rsidRDefault="0098530D" w:rsidP="00552502">
            <w:pPr>
              <w:pStyle w:val="Texto"/>
              <w:spacing w:after="80" w:line="212" w:lineRule="exact"/>
              <w:ind w:firstLine="0"/>
            </w:pPr>
            <w:r w:rsidRPr="00AB7CA1">
              <w:t>Oficio 325-SAT-09-04-B-90015 de 14 de diciembre de 2007, mediante el cual se da a conocer el Boletín 2007.</w:t>
            </w:r>
          </w:p>
        </w:tc>
      </w:tr>
    </w:tbl>
    <w:p w14:paraId="55E7CDE7" w14:textId="77777777" w:rsidR="0098530D" w:rsidRPr="00AB7CA1" w:rsidRDefault="0098530D" w:rsidP="0098530D">
      <w:pPr>
        <w:pStyle w:val="Texto"/>
        <w:spacing w:after="80" w:line="212" w:lineRule="exact"/>
        <w:ind w:left="2736" w:hanging="1152"/>
        <w:rPr>
          <w:b/>
        </w:rPr>
      </w:pPr>
    </w:p>
    <w:p w14:paraId="38D30A02" w14:textId="77777777" w:rsidR="0098530D" w:rsidRPr="00AB7CA1" w:rsidRDefault="0098530D" w:rsidP="0098530D">
      <w:pPr>
        <w:pStyle w:val="Texto"/>
        <w:spacing w:after="80" w:line="212" w:lineRule="exact"/>
        <w:ind w:left="2736" w:hanging="1152"/>
        <w:rPr>
          <w:b/>
          <w:lang w:val="es-ES_tradnl"/>
        </w:rPr>
      </w:pPr>
      <w:r w:rsidRPr="00AB7CA1">
        <w:rPr>
          <w:b/>
        </w:rPr>
        <w:t>6/IVA/N</w:t>
      </w:r>
      <w:r w:rsidRPr="00AB7CA1">
        <w:rPr>
          <w:b/>
        </w:rPr>
        <w:tab/>
      </w:r>
      <w:r w:rsidRPr="00AB7CA1">
        <w:rPr>
          <w:b/>
          <w:lang w:val="es-ES_tradnl"/>
        </w:rPr>
        <w:t>Enajenación de colmenas polinizadoras.</w:t>
      </w:r>
    </w:p>
    <w:p w14:paraId="1333C892" w14:textId="77777777" w:rsidR="0098530D" w:rsidRPr="00AB7CA1" w:rsidRDefault="0098530D" w:rsidP="0098530D">
      <w:pPr>
        <w:pStyle w:val="Texto"/>
        <w:spacing w:after="80" w:line="212" w:lineRule="exact"/>
        <w:ind w:left="2736" w:hanging="1152"/>
      </w:pPr>
      <w:r w:rsidRPr="00AB7CA1">
        <w:rPr>
          <w:b/>
          <w:lang w:val="es-ES_tradnl"/>
        </w:rPr>
        <w:tab/>
      </w:r>
      <w:r w:rsidRPr="00AB7CA1">
        <w:t>El artículo 2o.-A, fracción I, inciso a) de la Ley del IVA establece que para calcular dicho impuesto cuando se enajenan animales y vegetales que no estén industrializados, salvo el hule, perros, gatos y pequeñas especies, utilizadas como mascotas en el hogar, se aplica la tasa del 0% al valor de los mismos.</w:t>
      </w:r>
    </w:p>
    <w:p w14:paraId="44A23459" w14:textId="77777777" w:rsidR="0098530D" w:rsidRPr="00AB7CA1" w:rsidRDefault="0098530D" w:rsidP="0098530D">
      <w:pPr>
        <w:pStyle w:val="Texto"/>
        <w:spacing w:after="80" w:line="212" w:lineRule="exact"/>
        <w:ind w:left="2736" w:hanging="1152"/>
      </w:pPr>
      <w:r w:rsidRPr="00AB7CA1">
        <w:tab/>
        <w:t>Por lo anterior, la enajenación de colmenas polinizadoras estaría gravada a la tasa del 0%, en el entendido de que se está enajenando al conjunto de abejas como tal y que la colmena, es decir, la caja con marcos o bastidores es tan solo un recipiente.</w:t>
      </w:r>
    </w:p>
    <w:p w14:paraId="1DBF13B9" w14:textId="77777777" w:rsidR="0098530D" w:rsidRPr="00AB7CA1" w:rsidRDefault="0098530D" w:rsidP="0098530D">
      <w:pPr>
        <w:pStyle w:val="Texto"/>
        <w:spacing w:after="80" w:line="212" w:lineRule="exact"/>
        <w:ind w:left="2736" w:hanging="1152"/>
      </w:pPr>
      <w:r w:rsidRPr="00AB7CA1">
        <w:tab/>
        <w:t>Ello, no obstante, estaría sujeto a la siguiente precisión:</w:t>
      </w:r>
    </w:p>
    <w:p w14:paraId="46646E6F" w14:textId="77777777" w:rsidR="0098530D" w:rsidRPr="00AB7CA1" w:rsidRDefault="0098530D" w:rsidP="0098530D">
      <w:pPr>
        <w:pStyle w:val="Texto"/>
        <w:spacing w:after="80" w:line="212" w:lineRule="exact"/>
        <w:ind w:left="3312" w:hanging="576"/>
      </w:pPr>
      <w:r w:rsidRPr="00AB7CA1">
        <w:rPr>
          <w:b/>
        </w:rPr>
        <w:t>I.</w:t>
      </w:r>
      <w:r w:rsidRPr="00AB7CA1">
        <w:rPr>
          <w:b/>
        </w:rPr>
        <w:tab/>
      </w:r>
      <w:r w:rsidRPr="00AB7CA1">
        <w:t>Una colmena normalmente tiene dos partes: la cámara o cámaras de cría y la cámara o cámaras de almacenamiento; estas últimas también son conocidas como alzas para la miel. Tomando en cuenta esta distinción, únicamente estaría gravada a la tasa del 0% la enajenación de los compartimentos con abejas, que corresponderían a la cámara de cría.</w:t>
      </w:r>
    </w:p>
    <w:p w14:paraId="15ED6414" w14:textId="77777777" w:rsidR="0098530D" w:rsidRPr="00AB7CA1" w:rsidRDefault="0098530D" w:rsidP="0098530D">
      <w:pPr>
        <w:pStyle w:val="Texto"/>
        <w:spacing w:after="88"/>
        <w:ind w:left="3312" w:hanging="576"/>
      </w:pPr>
      <w:r w:rsidRPr="00AB7CA1">
        <w:rPr>
          <w:b/>
        </w:rPr>
        <w:t>II.</w:t>
      </w:r>
      <w:r w:rsidRPr="00AB7CA1">
        <w:rPr>
          <w:b/>
        </w:rPr>
        <w:tab/>
      </w:r>
      <w:r w:rsidRPr="00AB7CA1">
        <w:t>Los compartimentos adicionales y los marcos o bastidores correspondientes, dado que no serían el recipiente para las abejas sino para consumo o explotación de la miel, estarían gravados a la tasa general.</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6994604C"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4F251F3E" w14:textId="77777777" w:rsidR="0098530D" w:rsidRPr="00AB7CA1" w:rsidRDefault="0098530D" w:rsidP="00552502">
            <w:pPr>
              <w:pStyle w:val="Texto"/>
              <w:spacing w:after="88"/>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E2C6E67" w14:textId="77777777" w:rsidR="0098530D" w:rsidRPr="00AB7CA1" w:rsidRDefault="0098530D" w:rsidP="00552502">
            <w:pPr>
              <w:pStyle w:val="Texto"/>
              <w:spacing w:after="88"/>
              <w:ind w:firstLine="0"/>
              <w:jc w:val="center"/>
              <w:rPr>
                <w:b/>
              </w:rPr>
            </w:pPr>
            <w:r w:rsidRPr="00AB7CA1">
              <w:rPr>
                <w:b/>
              </w:rPr>
              <w:t>Primer antecedente</w:t>
            </w:r>
          </w:p>
        </w:tc>
      </w:tr>
      <w:tr w:rsidR="0098530D" w:rsidRPr="00AB7CA1" w14:paraId="215A3176"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C3F3F9D" w14:textId="77777777" w:rsidR="0098530D" w:rsidRPr="00AB7CA1" w:rsidRDefault="0098530D" w:rsidP="00552502">
            <w:pPr>
              <w:pStyle w:val="Texto"/>
              <w:spacing w:after="88"/>
              <w:ind w:firstLine="0"/>
            </w:pPr>
            <w:r w:rsidRPr="00AB7CA1">
              <w:t>5.2.11.</w:t>
            </w:r>
          </w:p>
        </w:tc>
        <w:tc>
          <w:tcPr>
            <w:tcW w:w="3237" w:type="pct"/>
            <w:tcBorders>
              <w:top w:val="single" w:sz="6" w:space="0" w:color="auto"/>
              <w:left w:val="single" w:sz="6" w:space="0" w:color="auto"/>
              <w:bottom w:val="single" w:sz="6" w:space="0" w:color="auto"/>
              <w:right w:val="single" w:sz="6" w:space="0" w:color="auto"/>
            </w:tcBorders>
          </w:tcPr>
          <w:p w14:paraId="21785B7B" w14:textId="77777777" w:rsidR="0098530D" w:rsidRPr="00AB7CA1" w:rsidRDefault="0098530D" w:rsidP="00552502">
            <w:pPr>
              <w:pStyle w:val="Texto"/>
              <w:spacing w:after="88"/>
              <w:ind w:firstLine="0"/>
            </w:pPr>
            <w:r w:rsidRPr="00AB7CA1">
              <w:t>Oficio 325-SAT-IV-C-5320 de 22 de mayo de 1998. Segunda Actualización de la Compilación de Normatividad Sustantiva de Impuestos Internos.</w:t>
            </w:r>
          </w:p>
        </w:tc>
      </w:tr>
    </w:tbl>
    <w:p w14:paraId="1C28430D" w14:textId="77777777" w:rsidR="0098530D" w:rsidRPr="00AB7CA1" w:rsidRDefault="0098530D" w:rsidP="0098530D">
      <w:pPr>
        <w:pStyle w:val="Texto"/>
        <w:spacing w:after="88"/>
        <w:ind w:left="2736" w:hanging="1152"/>
        <w:rPr>
          <w:b/>
        </w:rPr>
      </w:pPr>
    </w:p>
    <w:p w14:paraId="4FA112A1" w14:textId="77777777" w:rsidR="0098530D" w:rsidRPr="00AB7CA1" w:rsidRDefault="0098530D" w:rsidP="0098530D">
      <w:pPr>
        <w:pStyle w:val="Texto"/>
        <w:spacing w:after="88"/>
        <w:ind w:left="2736" w:hanging="1152"/>
        <w:rPr>
          <w:b/>
          <w:lang w:val="es-ES_tradnl"/>
        </w:rPr>
      </w:pPr>
      <w:r w:rsidRPr="00AB7CA1">
        <w:rPr>
          <w:b/>
        </w:rPr>
        <w:t>7/IVA/N</w:t>
      </w:r>
      <w:r w:rsidRPr="00AB7CA1">
        <w:rPr>
          <w:b/>
        </w:rPr>
        <w:tab/>
      </w:r>
      <w:r w:rsidRPr="00AB7CA1">
        <w:rPr>
          <w:b/>
          <w:lang w:val="es-ES_tradnl"/>
        </w:rPr>
        <w:t>Enajenación de pieles frescas.</w:t>
      </w:r>
    </w:p>
    <w:p w14:paraId="71547A36" w14:textId="77777777" w:rsidR="0098530D" w:rsidRPr="00AB7CA1" w:rsidRDefault="0098530D" w:rsidP="0098530D">
      <w:pPr>
        <w:pStyle w:val="Texto"/>
        <w:spacing w:after="88"/>
        <w:ind w:left="2736" w:hanging="1152"/>
        <w:rPr>
          <w:lang w:val="es-ES_tradnl"/>
        </w:rPr>
      </w:pPr>
      <w:r w:rsidRPr="00AB7CA1">
        <w:rPr>
          <w:b/>
          <w:lang w:val="es-ES_tradnl"/>
        </w:rPr>
        <w:tab/>
      </w:r>
      <w:r w:rsidRPr="00AB7CA1">
        <w:t>El artículo 2o.-A, fracción I, inciso a) de la Ley del IVA establece que para calcular dicho impuesto cuando se enajenan animales y vegetales que no estén industrializados, salvo el hule, perros, gatos y pequeñas especies, utilizadas como mascotas en el hogar se aplica la tasa del 0% al valor de los mismos.</w:t>
      </w:r>
    </w:p>
    <w:p w14:paraId="50E14DA5" w14:textId="77777777" w:rsidR="0098530D" w:rsidRPr="00AB7CA1" w:rsidRDefault="0098530D" w:rsidP="0098530D">
      <w:pPr>
        <w:pStyle w:val="Texto"/>
        <w:spacing w:after="88"/>
        <w:ind w:left="2736" w:hanging="1152"/>
        <w:rPr>
          <w:lang w:val="es-ES_tradnl"/>
        </w:rPr>
      </w:pPr>
      <w:r w:rsidRPr="00AB7CA1">
        <w:rPr>
          <w:lang w:val="es-ES_tradnl"/>
        </w:rPr>
        <w:tab/>
        <w:t>El artículo 6 del Reglamento de dicha ley establece que no están industrializados los animales y vegetales que se presenten cortados, aplanados, en trozos, frescos, salados, secos, refrigerados, congelados o empacados.</w:t>
      </w:r>
    </w:p>
    <w:p w14:paraId="6E6C9FA9" w14:textId="77777777" w:rsidR="0098530D" w:rsidRPr="00AB7CA1" w:rsidRDefault="0098530D" w:rsidP="0098530D">
      <w:pPr>
        <w:pStyle w:val="Texto"/>
        <w:spacing w:after="88"/>
        <w:ind w:left="2736" w:hanging="1152"/>
        <w:rPr>
          <w:lang w:val="es-ES_tradnl"/>
        </w:rPr>
      </w:pPr>
      <w:r w:rsidRPr="00AB7CA1">
        <w:rPr>
          <w:lang w:val="es-ES_tradnl"/>
        </w:rPr>
        <w:lastRenderedPageBreak/>
        <w:tab/>
        <w:t>En este tenor, se considera que no están industrializadas las pieles que se presenten frescas o conservadas de cualquier forma, siempre que no se encuentren precurtidas, curtidas, apergaminadas o preparadas de otra manera.</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7444EE58"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83605BD" w14:textId="77777777" w:rsidR="0098530D" w:rsidRPr="00AB7CA1" w:rsidRDefault="0098530D" w:rsidP="00552502">
            <w:pPr>
              <w:pStyle w:val="Texto"/>
              <w:spacing w:after="88"/>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B86FA81" w14:textId="77777777" w:rsidR="0098530D" w:rsidRPr="00AB7CA1" w:rsidRDefault="0098530D" w:rsidP="00552502">
            <w:pPr>
              <w:pStyle w:val="Texto"/>
              <w:spacing w:after="88"/>
              <w:ind w:firstLine="0"/>
              <w:jc w:val="center"/>
              <w:rPr>
                <w:b/>
              </w:rPr>
            </w:pPr>
            <w:r w:rsidRPr="00AB7CA1">
              <w:rPr>
                <w:b/>
              </w:rPr>
              <w:t>Primer antecedente</w:t>
            </w:r>
          </w:p>
        </w:tc>
      </w:tr>
      <w:tr w:rsidR="0098530D" w:rsidRPr="00AB7CA1" w14:paraId="6068FD4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3788AC0" w14:textId="77777777" w:rsidR="0098530D" w:rsidRPr="00AB7CA1" w:rsidRDefault="0098530D" w:rsidP="00552502">
            <w:pPr>
              <w:pStyle w:val="Texto"/>
              <w:spacing w:after="88"/>
              <w:ind w:firstLine="0"/>
            </w:pPr>
            <w:r w:rsidRPr="00AB7CA1">
              <w:t>1996</w:t>
            </w:r>
          </w:p>
        </w:tc>
        <w:tc>
          <w:tcPr>
            <w:tcW w:w="3237" w:type="pct"/>
            <w:tcBorders>
              <w:top w:val="single" w:sz="6" w:space="0" w:color="auto"/>
              <w:left w:val="single" w:sz="6" w:space="0" w:color="auto"/>
              <w:bottom w:val="single" w:sz="6" w:space="0" w:color="auto"/>
              <w:right w:val="single" w:sz="6" w:space="0" w:color="auto"/>
            </w:tcBorders>
          </w:tcPr>
          <w:p w14:paraId="126FA711" w14:textId="77777777" w:rsidR="0098530D" w:rsidRPr="00AB7CA1" w:rsidRDefault="0098530D" w:rsidP="00552502">
            <w:pPr>
              <w:pStyle w:val="Texto"/>
              <w:spacing w:after="88"/>
              <w:ind w:firstLine="0"/>
            </w:pPr>
            <w:r w:rsidRPr="00AB7CA1">
              <w:t>Oficio 325-A-VII-10975 de 4 de diciembre de 1996, mediante el cual se hace del conocimiento las consideraciones en materia de IVA a la enajenación de pieles sin industrializar de animales.</w:t>
            </w:r>
          </w:p>
        </w:tc>
      </w:tr>
    </w:tbl>
    <w:p w14:paraId="36CA9A23" w14:textId="77777777" w:rsidR="0098530D" w:rsidRPr="00AB7CA1" w:rsidRDefault="0098530D" w:rsidP="0098530D">
      <w:pPr>
        <w:pStyle w:val="Texto"/>
        <w:spacing w:after="88"/>
        <w:ind w:left="2736" w:hanging="1152"/>
      </w:pPr>
    </w:p>
    <w:p w14:paraId="158813C6" w14:textId="77777777" w:rsidR="0098530D" w:rsidRPr="00AB7CA1" w:rsidRDefault="0098530D" w:rsidP="0098530D">
      <w:pPr>
        <w:pStyle w:val="Texto"/>
        <w:spacing w:after="88"/>
        <w:ind w:left="2736" w:hanging="1152"/>
        <w:rPr>
          <w:b/>
          <w:lang w:val="es-ES_tradnl"/>
        </w:rPr>
      </w:pPr>
      <w:r w:rsidRPr="00AB7CA1">
        <w:rPr>
          <w:b/>
        </w:rPr>
        <w:t>8/IVA/N</w:t>
      </w:r>
      <w:r w:rsidRPr="00AB7CA1">
        <w:rPr>
          <w:b/>
        </w:rPr>
        <w:tab/>
      </w:r>
      <w:r w:rsidRPr="00AB7CA1">
        <w:rPr>
          <w:b/>
          <w:lang w:val="es-ES_tradnl"/>
        </w:rPr>
        <w:t>Medicinas de patente.</w:t>
      </w:r>
    </w:p>
    <w:p w14:paraId="206B4B5A" w14:textId="77777777" w:rsidR="0098530D" w:rsidRPr="00AB7CA1" w:rsidRDefault="0098530D" w:rsidP="0098530D">
      <w:pPr>
        <w:pStyle w:val="Texto"/>
        <w:spacing w:after="88"/>
        <w:ind w:left="2736" w:hanging="1152"/>
        <w:rPr>
          <w:lang w:val="es-ES_tradnl"/>
        </w:rPr>
      </w:pPr>
      <w:r w:rsidRPr="00AB7CA1">
        <w:rPr>
          <w:b/>
          <w:lang w:val="es-ES_tradnl"/>
        </w:rPr>
        <w:tab/>
      </w:r>
      <w:r w:rsidRPr="00AB7CA1">
        <w:rPr>
          <w:lang w:val="es-ES_tradnl"/>
        </w:rPr>
        <w:t>Para efectos de los artículos 2o.-A, fracción I, inciso b) de la Ley del IVA y 7 de su Reglamento, serán consideradas medicinas de patente, las especialidades farmacéuticas, los estupefacientes, las substancias psicotrópicas y los antígenos y vacunas, incluyendo las homeopáticas y las veterinarias, aún cuando estas puedan ser ingeridas, inyectadas, inhaladas o aplicadas, sin llevar a cabo ningún otro procedimiento de elaboración.</w:t>
      </w:r>
    </w:p>
    <w:p w14:paraId="4F368CEB" w14:textId="77777777" w:rsidR="0098530D" w:rsidRPr="00AB7CA1" w:rsidRDefault="0098530D" w:rsidP="0098530D">
      <w:pPr>
        <w:pStyle w:val="Texto"/>
        <w:spacing w:after="88"/>
        <w:ind w:left="2736" w:hanging="1152"/>
        <w:rPr>
          <w:lang w:val="es-ES_tradnl"/>
        </w:rPr>
      </w:pPr>
      <w:r w:rsidRPr="00AB7CA1">
        <w:rPr>
          <w:lang w:val="es-ES_tradnl"/>
        </w:rPr>
        <w:tab/>
        <w:t>En este sentido, la enajenación e importación de cualquier producto que para clasificarse como medicina de patente requiera mezclarse con otras sustancias o productos o sujetarse a un proceso industrial de transformación, como serían las sustancias químicas, deberán gravarse con la tasa general del IVA, aún cuando se incorporen o sean la base para la producción de medicinas de patente.</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37B4281C"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7AC8E950" w14:textId="77777777" w:rsidR="0098530D" w:rsidRPr="00AB7CA1" w:rsidRDefault="0098530D" w:rsidP="00552502">
            <w:pPr>
              <w:pStyle w:val="Texto"/>
              <w:spacing w:after="88"/>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08AB8905" w14:textId="77777777" w:rsidR="0098530D" w:rsidRPr="00AB7CA1" w:rsidRDefault="0098530D" w:rsidP="00552502">
            <w:pPr>
              <w:pStyle w:val="Texto"/>
              <w:spacing w:after="88"/>
              <w:ind w:firstLine="0"/>
              <w:jc w:val="center"/>
              <w:rPr>
                <w:b/>
              </w:rPr>
            </w:pPr>
            <w:r w:rsidRPr="00AB7CA1">
              <w:rPr>
                <w:b/>
              </w:rPr>
              <w:t>Primer antecedente</w:t>
            </w:r>
          </w:p>
        </w:tc>
      </w:tr>
      <w:tr w:rsidR="0098530D" w:rsidRPr="00AB7CA1" w14:paraId="5A1A414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57382DB" w14:textId="77777777" w:rsidR="0098530D" w:rsidRPr="00AB7CA1" w:rsidRDefault="0098530D" w:rsidP="00552502">
            <w:pPr>
              <w:pStyle w:val="Texto"/>
              <w:spacing w:after="88"/>
              <w:ind w:firstLine="0"/>
            </w:pPr>
            <w:r w:rsidRPr="00AB7CA1">
              <w:t>6/94</w:t>
            </w:r>
          </w:p>
        </w:tc>
        <w:tc>
          <w:tcPr>
            <w:tcW w:w="3237" w:type="pct"/>
            <w:tcBorders>
              <w:top w:val="single" w:sz="6" w:space="0" w:color="auto"/>
              <w:left w:val="single" w:sz="6" w:space="0" w:color="auto"/>
              <w:bottom w:val="single" w:sz="6" w:space="0" w:color="auto"/>
              <w:right w:val="single" w:sz="6" w:space="0" w:color="auto"/>
            </w:tcBorders>
          </w:tcPr>
          <w:p w14:paraId="0B6FC661" w14:textId="77777777" w:rsidR="0098530D" w:rsidRPr="00AB7CA1" w:rsidRDefault="0098530D" w:rsidP="00552502">
            <w:pPr>
              <w:pStyle w:val="Texto"/>
              <w:spacing w:after="88"/>
              <w:ind w:firstLine="0"/>
            </w:pPr>
            <w:r w:rsidRPr="00AB7CA1">
              <w:t>Oficio 325-A-VII-21606 de 23 de junio de 1994, a través del cual se dan a conocer diversos criterios de operación y normativos.</w:t>
            </w:r>
          </w:p>
        </w:tc>
      </w:tr>
    </w:tbl>
    <w:p w14:paraId="3C46B93A" w14:textId="77777777" w:rsidR="0098530D" w:rsidRPr="00AB7CA1" w:rsidRDefault="0098530D" w:rsidP="0098530D">
      <w:pPr>
        <w:pStyle w:val="Texto"/>
        <w:spacing w:after="88"/>
        <w:ind w:left="2736" w:hanging="1152"/>
        <w:rPr>
          <w:b/>
        </w:rPr>
      </w:pPr>
    </w:p>
    <w:p w14:paraId="003CB2A7" w14:textId="77777777" w:rsidR="0098530D" w:rsidRPr="00AB7CA1" w:rsidRDefault="0098530D" w:rsidP="0098530D">
      <w:pPr>
        <w:pStyle w:val="Texto"/>
        <w:spacing w:after="88"/>
        <w:ind w:left="2736" w:hanging="1152"/>
        <w:rPr>
          <w:b/>
          <w:lang w:val="es-ES_tradnl"/>
        </w:rPr>
      </w:pPr>
      <w:r w:rsidRPr="00AB7CA1">
        <w:rPr>
          <w:b/>
        </w:rPr>
        <w:t>9/IVA/N</w:t>
      </w:r>
      <w:r w:rsidRPr="00AB7CA1">
        <w:rPr>
          <w:b/>
        </w:rPr>
        <w:tab/>
      </w:r>
      <w:r w:rsidRPr="00AB7CA1">
        <w:rPr>
          <w:b/>
          <w:lang w:val="es-ES_tradnl"/>
        </w:rPr>
        <w:t>Suministro de medicamentos como parte de los servicios de un hospital. Se debe considerar la tasa general del IVA.</w:t>
      </w:r>
    </w:p>
    <w:p w14:paraId="339E5635" w14:textId="77777777" w:rsidR="0098530D" w:rsidRPr="00AB7CA1" w:rsidRDefault="0098530D" w:rsidP="0098530D">
      <w:pPr>
        <w:pStyle w:val="Texto"/>
        <w:spacing w:after="88"/>
        <w:ind w:left="2736" w:hanging="1152"/>
        <w:rPr>
          <w:lang w:val="es-ES_tradnl"/>
        </w:rPr>
      </w:pPr>
      <w:r w:rsidRPr="00AB7CA1">
        <w:rPr>
          <w:b/>
          <w:lang w:val="es-ES_tradnl"/>
        </w:rPr>
        <w:tab/>
      </w:r>
      <w:r w:rsidRPr="00AB7CA1">
        <w:rPr>
          <w:lang w:val="es-ES_tradnl"/>
        </w:rPr>
        <w:t>El artículo 2o.-A, fracción I, inciso b) de la Ley del IVA señala que el impuesto se calculará aplicando la tasa del 0% cuando se enajenen medicinas de patente.</w:t>
      </w:r>
    </w:p>
    <w:p w14:paraId="5C5E092B" w14:textId="77777777" w:rsidR="0098530D" w:rsidRPr="00AB7CA1" w:rsidRDefault="0098530D" w:rsidP="0098530D">
      <w:pPr>
        <w:pStyle w:val="Texto"/>
        <w:spacing w:line="228" w:lineRule="exact"/>
        <w:ind w:left="2736" w:hanging="1152"/>
        <w:rPr>
          <w:lang w:val="es-ES_tradnl"/>
        </w:rPr>
      </w:pPr>
      <w:r w:rsidRPr="00AB7CA1">
        <w:rPr>
          <w:lang w:val="es-ES_tradnl"/>
        </w:rPr>
        <w:tab/>
        <w:t>El artículo 17, segundo párrafo del CFF establece que cuando con motivo de la prestación de un servicio se proporcionen bienes o se otorgue el uso o goce temporal al prestatario, se considerará como ingreso por el servicio o como valor de este, el importe total de la contraprestación a cargo del prestatario, siempre que sean bienes que normalmente se proporcionen o se conceda su uso o goce con el servicio de que se trate.</w:t>
      </w:r>
    </w:p>
    <w:p w14:paraId="1E929DA6" w14:textId="77777777" w:rsidR="0098530D" w:rsidRPr="00AB7CA1" w:rsidRDefault="0098530D" w:rsidP="0098530D">
      <w:pPr>
        <w:pStyle w:val="Texto"/>
        <w:spacing w:line="228" w:lineRule="exact"/>
        <w:ind w:left="2736" w:hanging="1152"/>
        <w:rPr>
          <w:lang w:val="es-ES_tradnl"/>
        </w:rPr>
      </w:pPr>
      <w:r w:rsidRPr="00AB7CA1">
        <w:rPr>
          <w:lang w:val="es-ES_tradnl"/>
        </w:rPr>
        <w:tab/>
        <w:t>Por tanto, se considera que cuando se proporcionan medicinas de patente como parte de los servicios durante la hospitalización del paciente, directa o vía la contratación de un paquete de atención especial, se encuentran gravados a la tasa del 16% del IVA, de conformidad con lo establecido en los artículos 14, fracción I de la multicitada ley y 17, segundo párrafo del CFF, en virtud de que se trata de la prestación genérica de un servicio y no de la enajenación de medicamentos a que se refiere el artículo 2o.-A, fracción I, inciso b) de la ley en comento.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4D9F61A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79B6B9C6" w14:textId="77777777" w:rsidR="0098530D" w:rsidRPr="00AB7CA1" w:rsidRDefault="0098530D" w:rsidP="00552502">
            <w:pPr>
              <w:pStyle w:val="Texto"/>
              <w:spacing w:line="228"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7201E447" w14:textId="77777777" w:rsidR="0098530D" w:rsidRPr="00AB7CA1" w:rsidRDefault="0098530D" w:rsidP="00552502">
            <w:pPr>
              <w:pStyle w:val="Texto"/>
              <w:spacing w:line="228" w:lineRule="exact"/>
              <w:ind w:firstLine="0"/>
              <w:jc w:val="center"/>
              <w:rPr>
                <w:b/>
              </w:rPr>
            </w:pPr>
            <w:r w:rsidRPr="00AB7CA1">
              <w:rPr>
                <w:b/>
              </w:rPr>
              <w:t>Primer antecedente</w:t>
            </w:r>
          </w:p>
        </w:tc>
      </w:tr>
      <w:tr w:rsidR="0098530D" w:rsidRPr="00AB7CA1" w14:paraId="62A7D90C"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672A9EB" w14:textId="77777777" w:rsidR="0098530D" w:rsidRPr="00AB7CA1" w:rsidRDefault="0098530D" w:rsidP="00552502">
            <w:pPr>
              <w:pStyle w:val="Texto"/>
              <w:spacing w:line="228" w:lineRule="exact"/>
              <w:ind w:firstLine="0"/>
            </w:pPr>
            <w:r w:rsidRPr="00AB7CA1">
              <w:lastRenderedPageBreak/>
              <w:t>6/2005/IVA</w:t>
            </w:r>
          </w:p>
        </w:tc>
        <w:tc>
          <w:tcPr>
            <w:tcW w:w="3237" w:type="pct"/>
            <w:tcBorders>
              <w:top w:val="single" w:sz="6" w:space="0" w:color="auto"/>
              <w:left w:val="single" w:sz="6" w:space="0" w:color="auto"/>
              <w:bottom w:val="single" w:sz="6" w:space="0" w:color="auto"/>
              <w:right w:val="single" w:sz="6" w:space="0" w:color="auto"/>
            </w:tcBorders>
          </w:tcPr>
          <w:p w14:paraId="27EDA38B" w14:textId="77777777" w:rsidR="0098530D" w:rsidRPr="00AB7CA1" w:rsidRDefault="0098530D" w:rsidP="00552502">
            <w:pPr>
              <w:pStyle w:val="Texto"/>
              <w:spacing w:line="228" w:lineRule="exact"/>
              <w:ind w:firstLine="0"/>
            </w:pPr>
            <w:r w:rsidRPr="00AB7CA1">
              <w:t>Oficio 325-SAT-09-IV-B-118532 de 19 de septiembre de 2005, mediante el cual se emite la Compilación de Criterios Normativos. Liberación de la primera parte del Boletín 2005.</w:t>
            </w:r>
          </w:p>
        </w:tc>
      </w:tr>
    </w:tbl>
    <w:p w14:paraId="5C3E7B1F" w14:textId="77777777" w:rsidR="0098530D" w:rsidRPr="00AB7CA1" w:rsidRDefault="0098530D" w:rsidP="0098530D">
      <w:pPr>
        <w:pStyle w:val="Texto"/>
        <w:spacing w:line="228" w:lineRule="exact"/>
        <w:ind w:left="2736" w:hanging="1152"/>
        <w:rPr>
          <w:b/>
        </w:rPr>
      </w:pPr>
    </w:p>
    <w:p w14:paraId="64064554" w14:textId="77777777" w:rsidR="0098530D" w:rsidRPr="00AB7CA1" w:rsidRDefault="0098530D" w:rsidP="0098530D">
      <w:pPr>
        <w:pStyle w:val="Texto"/>
        <w:spacing w:line="228" w:lineRule="exact"/>
        <w:ind w:left="2736" w:hanging="1152"/>
        <w:rPr>
          <w:b/>
          <w:lang w:val="es-ES_tradnl"/>
        </w:rPr>
      </w:pPr>
      <w:r w:rsidRPr="00AB7CA1">
        <w:rPr>
          <w:b/>
        </w:rPr>
        <w:t>10/IVA/N</w:t>
      </w:r>
      <w:r w:rsidRPr="00AB7CA1">
        <w:rPr>
          <w:b/>
        </w:rPr>
        <w:tab/>
      </w:r>
      <w:r w:rsidRPr="00AB7CA1">
        <w:rPr>
          <w:b/>
          <w:lang w:val="es-ES_tradnl"/>
        </w:rPr>
        <w:t>Productos destinados a la alimentación</w:t>
      </w:r>
      <w:r w:rsidRPr="00AB7CA1">
        <w:rPr>
          <w:b/>
        </w:rPr>
        <w:t xml:space="preserve"> humana y animal.</w:t>
      </w:r>
    </w:p>
    <w:p w14:paraId="5F9E8506" w14:textId="77777777" w:rsidR="0098530D" w:rsidRPr="00AB7CA1" w:rsidRDefault="0098530D" w:rsidP="0098530D">
      <w:pPr>
        <w:pStyle w:val="Texto"/>
        <w:spacing w:line="228" w:lineRule="exact"/>
        <w:ind w:left="2736" w:hanging="1152"/>
        <w:rPr>
          <w:lang w:val="es-ES_tradnl"/>
        </w:rPr>
      </w:pPr>
      <w:r w:rsidRPr="00AB7CA1">
        <w:rPr>
          <w:b/>
          <w:lang w:val="es-ES_tradnl"/>
        </w:rPr>
        <w:tab/>
      </w:r>
      <w:r w:rsidRPr="00AB7CA1">
        <w:rPr>
          <w:lang w:val="es-ES_tradnl"/>
        </w:rPr>
        <w:t xml:space="preserve">Para efectos de lo establecido en el artículo 2o.-A, fracción I, inciso b) de la Ley del IVA, se entiende por productos destinados a la alimentación, aquéllos que sin requerir transformación o industrialización adicional, se ingieren como tales por humanos o animales para su alimentación, aunque al prepararse por el consumidor final se cuezan o combinen con otros productos destinados a la alimentación </w:t>
      </w:r>
      <w:r w:rsidRPr="00AB7CA1">
        <w:t>humana y animal</w:t>
      </w:r>
      <w:r w:rsidRPr="00AB7CA1">
        <w:rPr>
          <w:lang w:val="es-ES_tradnl"/>
        </w:rPr>
        <w:t>.</w:t>
      </w:r>
    </w:p>
    <w:p w14:paraId="5F622B64" w14:textId="77777777" w:rsidR="0098530D" w:rsidRPr="00AB7CA1" w:rsidRDefault="0098530D" w:rsidP="0098530D">
      <w:pPr>
        <w:pStyle w:val="Texto"/>
        <w:spacing w:line="228" w:lineRule="exact"/>
        <w:ind w:left="2736" w:hanging="1152"/>
        <w:rPr>
          <w:lang w:val="es-ES_tradnl"/>
        </w:rPr>
      </w:pPr>
      <w:r w:rsidRPr="00AB7CA1">
        <w:rPr>
          <w:lang w:val="es-ES_tradnl"/>
        </w:rPr>
        <w:tab/>
        <w:t xml:space="preserve">La enajenación de los insumos o materias primas que se incorporen, dentro de un procedimiento de industrialización o transformación, a productos destinados a la alimentación </w:t>
      </w:r>
      <w:r w:rsidRPr="00AB7CA1">
        <w:t>humana y animal</w:t>
      </w:r>
      <w:r w:rsidRPr="00AB7CA1">
        <w:rPr>
          <w:lang w:val="es-ES_tradnl"/>
        </w:rPr>
        <w:t>, ha estado afecta a la tasa del 0% siempre que dichas materias primas o insumos se contemplen en la definición del párrafo anterior.</w:t>
      </w:r>
    </w:p>
    <w:p w14:paraId="542790F7" w14:textId="77777777" w:rsidR="0098530D" w:rsidRPr="00AB7CA1" w:rsidRDefault="0098530D" w:rsidP="0098530D">
      <w:pPr>
        <w:pStyle w:val="Texto"/>
        <w:spacing w:line="228" w:lineRule="exact"/>
        <w:ind w:left="2736" w:hanging="1152"/>
        <w:rPr>
          <w:lang w:val="es-ES_tradnl"/>
        </w:rPr>
      </w:pPr>
      <w:r w:rsidRPr="00AB7CA1">
        <w:rPr>
          <w:lang w:val="es-ES_tradnl"/>
        </w:rPr>
        <w:tab/>
        <w:t>La enajenación de insumos o materias primas, tales como sustancias químicas, colorantes, aditivos o conservadores, que se incorporan al producto alimenticio, está afecta a la tasa general, salvo que se ubiquen en la definición del segundo párrafo de este criterio normativo.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C8558A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0CF13451" w14:textId="77777777" w:rsidR="0098530D" w:rsidRPr="00AB7CA1" w:rsidRDefault="0098530D" w:rsidP="00552502">
            <w:pPr>
              <w:pStyle w:val="Texto"/>
              <w:spacing w:line="228"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1C70C013" w14:textId="77777777" w:rsidR="0098530D" w:rsidRPr="00AB7CA1" w:rsidRDefault="0098530D" w:rsidP="00552502">
            <w:pPr>
              <w:pStyle w:val="Texto"/>
              <w:spacing w:line="228" w:lineRule="exact"/>
              <w:ind w:firstLine="0"/>
              <w:jc w:val="center"/>
              <w:rPr>
                <w:b/>
              </w:rPr>
            </w:pPr>
            <w:r w:rsidRPr="00AB7CA1">
              <w:rPr>
                <w:b/>
              </w:rPr>
              <w:t>Primer antecedente</w:t>
            </w:r>
          </w:p>
        </w:tc>
      </w:tr>
      <w:tr w:rsidR="0098530D" w:rsidRPr="00AB7CA1" w14:paraId="7549E2B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2A761B4" w14:textId="77777777" w:rsidR="0098530D" w:rsidRPr="00AB7CA1" w:rsidRDefault="0098530D" w:rsidP="00552502">
            <w:pPr>
              <w:pStyle w:val="Texto"/>
              <w:spacing w:line="228" w:lineRule="exact"/>
              <w:ind w:firstLine="0"/>
            </w:pPr>
            <w:r w:rsidRPr="00AB7CA1">
              <w:t>4.</w:t>
            </w:r>
          </w:p>
        </w:tc>
        <w:tc>
          <w:tcPr>
            <w:tcW w:w="3237" w:type="pct"/>
            <w:tcBorders>
              <w:top w:val="single" w:sz="6" w:space="0" w:color="auto"/>
              <w:left w:val="single" w:sz="6" w:space="0" w:color="auto"/>
              <w:bottom w:val="single" w:sz="6" w:space="0" w:color="auto"/>
              <w:right w:val="single" w:sz="6" w:space="0" w:color="auto"/>
            </w:tcBorders>
          </w:tcPr>
          <w:p w14:paraId="3A5BF81A" w14:textId="77777777" w:rsidR="0098530D" w:rsidRPr="00AB7CA1" w:rsidRDefault="0098530D" w:rsidP="00552502">
            <w:pPr>
              <w:pStyle w:val="Texto"/>
              <w:spacing w:line="228" w:lineRule="exact"/>
              <w:ind w:firstLine="0"/>
            </w:pPr>
            <w:r w:rsidRPr="00AB7CA1">
              <w:t>Oficio 325-A-VII-10973 de 3 de diciembre de 1996, a través del cual se hacen del conocimiento diversos criterios normativos.</w:t>
            </w:r>
          </w:p>
        </w:tc>
      </w:tr>
    </w:tbl>
    <w:p w14:paraId="2E8CA968" w14:textId="77777777" w:rsidR="0098530D" w:rsidRPr="00AB7CA1" w:rsidRDefault="0098530D" w:rsidP="0098530D">
      <w:pPr>
        <w:pStyle w:val="Texto"/>
        <w:spacing w:line="228" w:lineRule="exact"/>
        <w:ind w:left="2736" w:hanging="1152"/>
        <w:rPr>
          <w:b/>
        </w:rPr>
      </w:pPr>
    </w:p>
    <w:p w14:paraId="654BC389" w14:textId="77777777" w:rsidR="0098530D" w:rsidRPr="00AB7CA1" w:rsidRDefault="0098530D" w:rsidP="0098530D">
      <w:pPr>
        <w:pStyle w:val="Texto"/>
        <w:spacing w:line="228" w:lineRule="exact"/>
        <w:ind w:left="2736" w:hanging="1152"/>
      </w:pPr>
      <w:r w:rsidRPr="00AB7CA1">
        <w:rPr>
          <w:b/>
        </w:rPr>
        <w:t>11/IVA/N</w:t>
      </w:r>
      <w:r w:rsidRPr="00AB7CA1">
        <w:rPr>
          <w:b/>
        </w:rPr>
        <w:tab/>
      </w:r>
      <w:r w:rsidRPr="00AB7CA1">
        <w:rPr>
          <w:b/>
          <w:lang w:val="es-ES_tradnl"/>
        </w:rPr>
        <w:t>Suplementos alimenticios. No se consideran como productos destinados a la alimentación.</w:t>
      </w:r>
    </w:p>
    <w:p w14:paraId="269946EC" w14:textId="77777777" w:rsidR="0098530D" w:rsidRPr="00AB7CA1" w:rsidRDefault="0098530D" w:rsidP="0098530D">
      <w:pPr>
        <w:pStyle w:val="Texto"/>
        <w:spacing w:line="228" w:lineRule="exact"/>
        <w:ind w:left="2736" w:hanging="1152"/>
        <w:rPr>
          <w:lang w:val="es-ES_tradnl"/>
        </w:rPr>
      </w:pPr>
      <w:r w:rsidRPr="00AB7CA1">
        <w:tab/>
      </w:r>
      <w:r w:rsidRPr="00AB7CA1">
        <w:rPr>
          <w:lang w:val="es-ES_tradnl"/>
        </w:rPr>
        <w:t>La finalidad de los suplementos alimenticios es incrementar la ingesta dietética total, complementarla o suplir algunos de sus componentes, pudiendo ser incluso elaborados a base de alimentos tradicionales.</w:t>
      </w:r>
    </w:p>
    <w:p w14:paraId="614291A4" w14:textId="77777777" w:rsidR="0098530D" w:rsidRPr="00AB7CA1" w:rsidRDefault="0098530D" w:rsidP="0098530D">
      <w:pPr>
        <w:pStyle w:val="Texto"/>
        <w:spacing w:line="228" w:lineRule="exact"/>
        <w:ind w:left="2736" w:hanging="1152"/>
        <w:rPr>
          <w:lang w:val="es-ES_tradnl"/>
        </w:rPr>
      </w:pPr>
      <w:r w:rsidRPr="00AB7CA1">
        <w:rPr>
          <w:lang w:val="es-ES_tradnl"/>
        </w:rPr>
        <w:tab/>
        <w:t>En efecto, los suplementos alimenticios están elaborados con una mezcla de productos de diversa naturaleza (químicos, hierbas, extractos naturales, vitaminas, minerales, etc.) cuya finalidad consiste en otorgarle al cuerpo componentes en niveles superiores a los que obtiene de una alimentación tradicional, siendo su ingesta opcional y en ocasiones contienen advertencias, limitantes o contraindicaciones respecto a su uso o consumo.</w:t>
      </w:r>
    </w:p>
    <w:p w14:paraId="51DA2C79" w14:textId="77777777" w:rsidR="0098530D" w:rsidRPr="00AB7CA1" w:rsidRDefault="0098530D" w:rsidP="0098530D">
      <w:pPr>
        <w:pStyle w:val="Texto"/>
        <w:spacing w:line="220" w:lineRule="exact"/>
        <w:ind w:left="2736" w:hanging="1152"/>
        <w:rPr>
          <w:lang w:val="es-ES_tradnl"/>
        </w:rPr>
      </w:pPr>
      <w:r w:rsidRPr="00AB7CA1">
        <w:rPr>
          <w:lang w:val="es-ES_tradnl"/>
        </w:rPr>
        <w:tab/>
        <w:t>La Suprema Corte de Justicia de la Nación se ha pronunciado respecto a la razón que llevó al legislador a hacer un distingo entre productos destinados a la alimentación y los demás, para efectos de establecer excepciones y tasas diferenciadas de la Ley del IVA, en el sentido de que el trato diferencial obedece a finalidades extra fiscales como coadyuvar al sistema alimentario mexicano y proteger a los sectores sociales menos favorecidos.</w:t>
      </w:r>
    </w:p>
    <w:p w14:paraId="39E90D60" w14:textId="77777777" w:rsidR="0098530D" w:rsidRPr="00AB7CA1" w:rsidRDefault="0098530D" w:rsidP="0098530D">
      <w:pPr>
        <w:pStyle w:val="Texto"/>
        <w:spacing w:line="220" w:lineRule="exact"/>
        <w:ind w:left="2736" w:hanging="1152"/>
        <w:rPr>
          <w:lang w:val="es-ES_tradnl"/>
        </w:rPr>
      </w:pPr>
      <w:r w:rsidRPr="00AB7CA1">
        <w:rPr>
          <w:lang w:val="es-ES_tradnl"/>
        </w:rPr>
        <w:tab/>
        <w:t>Por lo tanto, para efectos de los artículos 2o.-A, fracción I, inciso b) y 25, fracción III de la Ley del IVA, los suplementos alimenticios no se consideran como productos destinados a la alimentación, por lo que no están sujetos a la tasa del 0% en su enajenación, ni exentos en su importación.</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7C4FACF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3CB2F989" w14:textId="77777777" w:rsidR="0098530D" w:rsidRPr="00AB7CA1" w:rsidRDefault="0098530D" w:rsidP="00552502">
            <w:pPr>
              <w:pStyle w:val="Texto"/>
              <w:spacing w:line="220"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91BD88F" w14:textId="77777777" w:rsidR="0098530D" w:rsidRPr="00AB7CA1" w:rsidRDefault="0098530D" w:rsidP="00552502">
            <w:pPr>
              <w:pStyle w:val="Texto"/>
              <w:spacing w:line="220" w:lineRule="exact"/>
              <w:ind w:firstLine="0"/>
              <w:jc w:val="center"/>
              <w:rPr>
                <w:b/>
              </w:rPr>
            </w:pPr>
            <w:r w:rsidRPr="00AB7CA1">
              <w:rPr>
                <w:b/>
              </w:rPr>
              <w:t>Primer antecedente</w:t>
            </w:r>
          </w:p>
        </w:tc>
      </w:tr>
      <w:tr w:rsidR="0098530D" w:rsidRPr="00AB7CA1" w14:paraId="61400785"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7ABFA85" w14:textId="77777777" w:rsidR="0098530D" w:rsidRPr="00AB7CA1" w:rsidRDefault="0098530D" w:rsidP="00552502">
            <w:pPr>
              <w:pStyle w:val="Texto"/>
              <w:spacing w:line="220" w:lineRule="exact"/>
              <w:ind w:firstLine="0"/>
            </w:pPr>
            <w:r w:rsidRPr="00AB7CA1">
              <w:lastRenderedPageBreak/>
              <w:t>2013</w:t>
            </w:r>
          </w:p>
        </w:tc>
        <w:tc>
          <w:tcPr>
            <w:tcW w:w="3237" w:type="pct"/>
            <w:tcBorders>
              <w:top w:val="single" w:sz="6" w:space="0" w:color="auto"/>
              <w:left w:val="single" w:sz="6" w:space="0" w:color="auto"/>
              <w:bottom w:val="single" w:sz="6" w:space="0" w:color="auto"/>
              <w:right w:val="single" w:sz="6" w:space="0" w:color="auto"/>
            </w:tcBorders>
          </w:tcPr>
          <w:p w14:paraId="3BB671FF" w14:textId="77777777" w:rsidR="0098530D" w:rsidRPr="00AB7CA1" w:rsidRDefault="0098530D" w:rsidP="00552502">
            <w:pPr>
              <w:pStyle w:val="Texto"/>
              <w:spacing w:line="220" w:lineRule="exact"/>
              <w:ind w:firstLine="0"/>
            </w:pPr>
            <w:r w:rsidRPr="00AB7CA1">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121/2013/IVA.</w:t>
            </w:r>
          </w:p>
        </w:tc>
      </w:tr>
    </w:tbl>
    <w:p w14:paraId="706D68E2" w14:textId="77777777" w:rsidR="0098530D" w:rsidRPr="00AB7CA1" w:rsidRDefault="0098530D" w:rsidP="0098530D">
      <w:pPr>
        <w:pStyle w:val="Texto"/>
        <w:spacing w:line="220" w:lineRule="exact"/>
        <w:ind w:left="2736" w:hanging="1152"/>
        <w:rPr>
          <w:b/>
        </w:rPr>
      </w:pPr>
    </w:p>
    <w:p w14:paraId="305D91B3" w14:textId="77777777" w:rsidR="0098530D" w:rsidRPr="00AB7CA1" w:rsidRDefault="0098530D" w:rsidP="0098530D">
      <w:pPr>
        <w:pStyle w:val="Texto"/>
        <w:spacing w:line="220" w:lineRule="exact"/>
        <w:ind w:left="2736" w:hanging="1152"/>
        <w:rPr>
          <w:b/>
        </w:rPr>
      </w:pPr>
      <w:r w:rsidRPr="00AB7CA1">
        <w:rPr>
          <w:b/>
        </w:rPr>
        <w:t>12/IVA/N</w:t>
      </w:r>
      <w:r w:rsidRPr="00AB7CA1">
        <w:rPr>
          <w:b/>
        </w:rPr>
        <w:tab/>
        <w:t>Concepto de leche para efectos del IVA.</w:t>
      </w:r>
    </w:p>
    <w:p w14:paraId="10AB5393" w14:textId="77777777" w:rsidR="0098530D" w:rsidRPr="00AB7CA1" w:rsidRDefault="0098530D" w:rsidP="0098530D">
      <w:pPr>
        <w:pStyle w:val="Texto"/>
        <w:spacing w:line="220" w:lineRule="exact"/>
        <w:ind w:left="2736" w:hanging="1152"/>
      </w:pPr>
      <w:r w:rsidRPr="00AB7CA1">
        <w:rPr>
          <w:b/>
        </w:rPr>
        <w:tab/>
      </w:r>
      <w:r w:rsidRPr="00AB7CA1">
        <w:t>El artículo 2o.-A, fracción I, inciso b), numeral 1o. de la Ley del IVA, establece que se aplicará la tasa del 0% a la enajenación de productos destinados a la alimentación humana o animal a excepción de bebidas distintas de la leche, inclusive cuando las mismas tengan la naturaleza de alimentos; conforme a lo anterior, es aplicable la tasa del 0% del IVA a la enajenación de leche.</w:t>
      </w:r>
    </w:p>
    <w:p w14:paraId="17B1F630" w14:textId="77777777" w:rsidR="0098530D" w:rsidRPr="00AB7CA1" w:rsidRDefault="0098530D" w:rsidP="0098530D">
      <w:pPr>
        <w:pStyle w:val="Texto"/>
        <w:spacing w:line="220" w:lineRule="exact"/>
        <w:ind w:left="2736" w:hanging="1152"/>
      </w:pPr>
      <w:r w:rsidRPr="00AB7CA1">
        <w:tab/>
        <w:t>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tasa del 0% a que se refiere el artículo 2o.-A, fracción I, inciso b), numeral 1 de la Ley del IVA, se entiende por leche:</w:t>
      </w:r>
    </w:p>
    <w:p w14:paraId="213E435D" w14:textId="77777777" w:rsidR="0098530D" w:rsidRPr="00AB7CA1" w:rsidRDefault="0098530D" w:rsidP="0098530D">
      <w:pPr>
        <w:pStyle w:val="Texto"/>
        <w:spacing w:line="220" w:lineRule="exact"/>
        <w:ind w:left="3312" w:hanging="576"/>
      </w:pPr>
      <w:r w:rsidRPr="00AB7CA1">
        <w:rPr>
          <w:b/>
        </w:rPr>
        <w:t>I.</w:t>
      </w:r>
      <w:r w:rsidRPr="00AB7CA1">
        <w:tab/>
        <w:t>La secreción natural de las glándulas mamarias de las vacas o de cualquier otra especie animal, excluido el calostro, que cumplan con la regulación sanitaria y comercial que les sea aplicable.</w:t>
      </w:r>
    </w:p>
    <w:p w14:paraId="6CAB1BE7" w14:textId="77777777" w:rsidR="0098530D" w:rsidRPr="00AB7CA1" w:rsidRDefault="0098530D" w:rsidP="0098530D">
      <w:pPr>
        <w:pStyle w:val="Texto"/>
        <w:spacing w:line="220" w:lineRule="exact"/>
        <w:ind w:left="3312" w:hanging="576"/>
      </w:pPr>
      <w:r w:rsidRPr="00AB7CA1">
        <w:tab/>
        <w:t>Con base en lo anterior, quedan comprendidas las leches en sus diversas denominaciones comerciales, incluida la saborizada, siempre y cuando cumplan con las especificaciones que establecen las Normas Oficiales Mexicanas “NOM-155-SCFI-2012, Leche-Denominaciones,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14:paraId="7B5A53F1" w14:textId="77777777" w:rsidR="0098530D" w:rsidRPr="00AB7CA1" w:rsidRDefault="0098530D" w:rsidP="0098530D">
      <w:pPr>
        <w:pStyle w:val="Texto"/>
        <w:spacing w:line="220" w:lineRule="exact"/>
        <w:ind w:left="3312" w:hanging="576"/>
      </w:pPr>
      <w:r w:rsidRPr="00AB7CA1">
        <w:rPr>
          <w:b/>
        </w:rPr>
        <w:t>II.</w:t>
      </w:r>
      <w:r w:rsidRPr="00AB7CA1">
        <w:rPr>
          <w:b/>
        </w:rPr>
        <w:tab/>
      </w:r>
      <w:r w:rsidRPr="00AB7CA1">
        <w:t>La mezcla de leche con grasa vegetal en sus diversas denominaciones comerciales, incluida la saborizada, siempre y cuando cumplan con las especificaciones establecidas en las Normas Oficiales Mexicanas “NOM-190-SCFI-2012, Mezcla de leche con grasa vegetal-Denominaciones,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14:paraId="53533B76" w14:textId="77777777" w:rsidR="0098530D" w:rsidRPr="00AB7CA1" w:rsidRDefault="0098530D" w:rsidP="0098530D">
      <w:pPr>
        <w:pStyle w:val="Texto"/>
        <w:spacing w:line="232" w:lineRule="exact"/>
        <w:ind w:left="3312" w:hanging="576"/>
      </w:pPr>
      <w:r w:rsidRPr="00AB7CA1">
        <w:rPr>
          <w:b/>
        </w:rPr>
        <w:t>III.</w:t>
      </w:r>
      <w:r w:rsidRPr="00AB7CA1">
        <w:rPr>
          <w:b/>
        </w:rPr>
        <w:tab/>
      </w:r>
      <w:r w:rsidRPr="00AB7CA1">
        <w:t>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0E6EC1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3B1D01E6" w14:textId="77777777" w:rsidR="0098530D" w:rsidRPr="00AB7CA1" w:rsidRDefault="0098530D" w:rsidP="00552502">
            <w:pPr>
              <w:pStyle w:val="Texto"/>
              <w:spacing w:line="232"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2DE9AD6" w14:textId="77777777" w:rsidR="0098530D" w:rsidRPr="00AB7CA1" w:rsidRDefault="0098530D" w:rsidP="00552502">
            <w:pPr>
              <w:pStyle w:val="Texto"/>
              <w:spacing w:line="232" w:lineRule="exact"/>
              <w:ind w:firstLine="0"/>
              <w:jc w:val="center"/>
              <w:rPr>
                <w:b/>
              </w:rPr>
            </w:pPr>
            <w:r w:rsidRPr="00AB7CA1">
              <w:rPr>
                <w:b/>
              </w:rPr>
              <w:t>Primer antecedente</w:t>
            </w:r>
          </w:p>
        </w:tc>
      </w:tr>
      <w:tr w:rsidR="0098530D" w:rsidRPr="00AB7CA1" w14:paraId="256FBED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5FD15B7" w14:textId="77777777" w:rsidR="0098530D" w:rsidRPr="00AB7CA1" w:rsidRDefault="0098530D" w:rsidP="00552502">
            <w:pPr>
              <w:pStyle w:val="Texto"/>
              <w:spacing w:line="232" w:lineRule="exact"/>
              <w:ind w:firstLine="0"/>
            </w:pPr>
            <w:r w:rsidRPr="00AB7CA1">
              <w:lastRenderedPageBreak/>
              <w:t>2014</w:t>
            </w:r>
          </w:p>
        </w:tc>
        <w:tc>
          <w:tcPr>
            <w:tcW w:w="3237" w:type="pct"/>
            <w:tcBorders>
              <w:top w:val="single" w:sz="6" w:space="0" w:color="auto"/>
              <w:left w:val="single" w:sz="6" w:space="0" w:color="auto"/>
              <w:bottom w:val="single" w:sz="6" w:space="0" w:color="auto"/>
              <w:right w:val="single" w:sz="6" w:space="0" w:color="auto"/>
            </w:tcBorders>
          </w:tcPr>
          <w:p w14:paraId="5936C6A6" w14:textId="77777777" w:rsidR="0098530D" w:rsidRPr="00AB7CA1" w:rsidRDefault="0098530D" w:rsidP="00552502">
            <w:pPr>
              <w:pStyle w:val="Texto"/>
              <w:spacing w:line="232" w:lineRule="exact"/>
              <w:ind w:firstLine="0"/>
            </w:pPr>
            <w:r w:rsidRPr="00AB7CA1">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13/2014/IVA.</w:t>
            </w:r>
          </w:p>
        </w:tc>
      </w:tr>
    </w:tbl>
    <w:p w14:paraId="4AF95DED" w14:textId="77777777" w:rsidR="0098530D" w:rsidRPr="00AB7CA1" w:rsidRDefault="0098530D" w:rsidP="0098530D">
      <w:pPr>
        <w:pStyle w:val="Texto"/>
        <w:spacing w:line="232" w:lineRule="exact"/>
        <w:ind w:left="2736" w:hanging="1152"/>
        <w:rPr>
          <w:b/>
        </w:rPr>
      </w:pPr>
    </w:p>
    <w:p w14:paraId="5B9537CB" w14:textId="77777777" w:rsidR="0098530D" w:rsidRPr="00AB7CA1" w:rsidRDefault="0098530D" w:rsidP="0098530D">
      <w:pPr>
        <w:pStyle w:val="Texto"/>
        <w:spacing w:line="232" w:lineRule="exact"/>
        <w:ind w:left="2736" w:hanging="1152"/>
        <w:rPr>
          <w:b/>
          <w:lang w:val="es-ES_tradnl"/>
        </w:rPr>
      </w:pPr>
      <w:r w:rsidRPr="00AB7CA1">
        <w:rPr>
          <w:b/>
        </w:rPr>
        <w:t>13/IVA/N</w:t>
      </w:r>
      <w:r w:rsidRPr="00AB7CA1">
        <w:rPr>
          <w:b/>
        </w:rPr>
        <w:tab/>
      </w:r>
      <w:r w:rsidRPr="00AB7CA1">
        <w:rPr>
          <w:b/>
          <w:lang w:val="es-ES_tradnl"/>
        </w:rPr>
        <w:t>Alimentos preparados.</w:t>
      </w:r>
    </w:p>
    <w:p w14:paraId="068A59C4" w14:textId="77777777" w:rsidR="0098530D" w:rsidRPr="00AB7CA1" w:rsidRDefault="0098530D" w:rsidP="0098530D">
      <w:pPr>
        <w:pStyle w:val="Texto"/>
        <w:spacing w:line="232" w:lineRule="exact"/>
        <w:ind w:left="2736" w:hanging="1152"/>
        <w:rPr>
          <w:lang w:val="es-ES_tradnl"/>
        </w:rPr>
      </w:pPr>
      <w:r w:rsidRPr="00AB7CA1">
        <w:rPr>
          <w:b/>
          <w:lang w:val="es-ES_tradnl"/>
        </w:rPr>
        <w:tab/>
      </w:r>
      <w:r w:rsidRPr="00AB7CA1">
        <w:rPr>
          <w:lang w:val="es-ES_tradnl"/>
        </w:rPr>
        <w:t>Para los efectos del artículo 2o.-A, fracción I, último párrafo de la Ley del IVA se consideran alimentos preparados para su consumo en el lugar de su enajenación, los alimentos enajenados como parte del servicio genérico de comidas, prestado por hoteles, restaurantes, fondas, loncherías, torterías, taquerías, pizzerías, cocinas económicas, cafeterías, comedores, rosticerías, bares, cantinas, servicios de banquetes o cualesquiera otros de la misma naturaleza, en cualquiera de las modalidades de servicio en el plato, en la mesa, a domicilio, al cuarto, para llevar y autoservicio.</w:t>
      </w:r>
    </w:p>
    <w:p w14:paraId="04A260B7" w14:textId="77777777" w:rsidR="0098530D" w:rsidRPr="00AB7CA1" w:rsidRDefault="0098530D" w:rsidP="0098530D">
      <w:pPr>
        <w:pStyle w:val="Texto"/>
        <w:spacing w:line="232" w:lineRule="exact"/>
        <w:ind w:left="2736" w:hanging="1152"/>
        <w:rPr>
          <w:lang w:val="es-ES_tradnl"/>
        </w:rPr>
      </w:pPr>
      <w:r w:rsidRPr="00AB7CA1">
        <w:rPr>
          <w:lang w:val="es-ES_tradnl"/>
        </w:rPr>
        <w:tab/>
        <w:t>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14:paraId="6464FBE8" w14:textId="77777777" w:rsidR="0098530D" w:rsidRPr="00AB7CA1" w:rsidRDefault="0098530D" w:rsidP="0098530D">
      <w:pPr>
        <w:pStyle w:val="Texto"/>
        <w:spacing w:line="232" w:lineRule="exact"/>
        <w:ind w:left="2736" w:hanging="1152"/>
      </w:pPr>
      <w:r w:rsidRPr="00AB7CA1">
        <w:rPr>
          <w:lang w:val="es-ES_tradnl"/>
        </w:rPr>
        <w:tab/>
        <w:t xml:space="preserve">Las enajenaciones de los alimentos mencionados en el párrafo anterior que hagan los proveedores a los establecimientos a que se refiere el citado párrafo, </w:t>
      </w:r>
      <w:r w:rsidRPr="00AB7CA1">
        <w:t>únicamente estarán afectas a la tasa general del impuesto cuando los proveedores presten un servicio genérico de comidas en los términos del primer párrafo.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74F3B86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1120F2AA" w14:textId="77777777" w:rsidR="0098530D" w:rsidRPr="00AB7CA1" w:rsidRDefault="0098530D" w:rsidP="00552502">
            <w:pPr>
              <w:pStyle w:val="Texto"/>
              <w:spacing w:line="232"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80A0F24" w14:textId="77777777" w:rsidR="0098530D" w:rsidRPr="00AB7CA1" w:rsidRDefault="0098530D" w:rsidP="00552502">
            <w:pPr>
              <w:pStyle w:val="Texto"/>
              <w:spacing w:line="232" w:lineRule="exact"/>
              <w:ind w:firstLine="0"/>
              <w:jc w:val="center"/>
              <w:rPr>
                <w:b/>
              </w:rPr>
            </w:pPr>
            <w:r w:rsidRPr="00AB7CA1">
              <w:rPr>
                <w:b/>
              </w:rPr>
              <w:t>Primer antecedente</w:t>
            </w:r>
          </w:p>
        </w:tc>
      </w:tr>
      <w:tr w:rsidR="0098530D" w:rsidRPr="00AB7CA1" w14:paraId="49926EB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4F76ACB" w14:textId="77777777" w:rsidR="0098530D" w:rsidRPr="00AB7CA1" w:rsidRDefault="0098530D" w:rsidP="00552502">
            <w:pPr>
              <w:pStyle w:val="Texto"/>
              <w:spacing w:line="232" w:lineRule="exact"/>
              <w:ind w:firstLine="0"/>
            </w:pPr>
            <w:r w:rsidRPr="00AB7CA1">
              <w:t>14/93</w:t>
            </w:r>
          </w:p>
        </w:tc>
        <w:tc>
          <w:tcPr>
            <w:tcW w:w="3237" w:type="pct"/>
            <w:tcBorders>
              <w:top w:val="single" w:sz="6" w:space="0" w:color="auto"/>
              <w:left w:val="single" w:sz="6" w:space="0" w:color="auto"/>
              <w:bottom w:val="single" w:sz="6" w:space="0" w:color="auto"/>
              <w:right w:val="single" w:sz="6" w:space="0" w:color="auto"/>
            </w:tcBorders>
          </w:tcPr>
          <w:p w14:paraId="62C8B9F2" w14:textId="77777777" w:rsidR="0098530D" w:rsidRPr="00AB7CA1" w:rsidRDefault="0098530D" w:rsidP="00552502">
            <w:pPr>
              <w:pStyle w:val="Texto"/>
              <w:spacing w:line="232" w:lineRule="exact"/>
              <w:ind w:firstLine="0"/>
            </w:pPr>
            <w:r w:rsidRPr="00AB7CA1">
              <w:t>Oficio 325-A-VII-24497 de 27 de octubre de 1993.</w:t>
            </w:r>
          </w:p>
        </w:tc>
      </w:tr>
    </w:tbl>
    <w:p w14:paraId="11ADB78D" w14:textId="77777777" w:rsidR="0098530D" w:rsidRPr="00AB7CA1" w:rsidRDefault="0098530D" w:rsidP="0098530D">
      <w:pPr>
        <w:pStyle w:val="Texto"/>
        <w:spacing w:line="232" w:lineRule="exact"/>
        <w:ind w:left="2736" w:hanging="1152"/>
        <w:rPr>
          <w:b/>
        </w:rPr>
      </w:pPr>
    </w:p>
    <w:p w14:paraId="50674CA0" w14:textId="77777777" w:rsidR="0098530D" w:rsidRPr="00AB7CA1" w:rsidRDefault="0098530D" w:rsidP="0098530D">
      <w:pPr>
        <w:pStyle w:val="Texto"/>
        <w:spacing w:line="232" w:lineRule="exact"/>
        <w:ind w:left="2736" w:hanging="1152"/>
        <w:rPr>
          <w:b/>
          <w:lang w:val="es-ES_tradnl"/>
        </w:rPr>
      </w:pPr>
      <w:r w:rsidRPr="00AB7CA1">
        <w:rPr>
          <w:b/>
        </w:rPr>
        <w:t>14/IVA/N</w:t>
      </w:r>
      <w:r w:rsidRPr="00AB7CA1">
        <w:rPr>
          <w:b/>
        </w:rPr>
        <w:tab/>
      </w:r>
      <w:r w:rsidRPr="00AB7CA1">
        <w:rPr>
          <w:b/>
          <w:lang w:val="es-ES_tradnl"/>
        </w:rPr>
        <w:t>Alimentos preparados para su consumo en el lugar de su enajenación.</w:t>
      </w:r>
    </w:p>
    <w:p w14:paraId="25F37D01" w14:textId="77777777" w:rsidR="0098530D" w:rsidRPr="00AB7CA1" w:rsidRDefault="0098530D" w:rsidP="0098530D">
      <w:pPr>
        <w:pStyle w:val="Texto"/>
        <w:spacing w:line="232" w:lineRule="exact"/>
        <w:ind w:left="2736" w:hanging="1152"/>
      </w:pPr>
      <w:r w:rsidRPr="00AB7CA1">
        <w:rPr>
          <w:b/>
          <w:lang w:val="es-ES_tradnl"/>
        </w:rPr>
        <w:tab/>
      </w:r>
      <w:r w:rsidRPr="00AB7CA1">
        <w:t>Para efectos del artículo 2o.-A, fracción I, último párrafo de la Ley del IVA, también se consideran alimentos preparados para su consumo en el lugar o establecimiento en que se enajenen,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5DDAE6B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090F51E7" w14:textId="77777777" w:rsidR="0098530D" w:rsidRPr="00AB7CA1" w:rsidRDefault="0098530D" w:rsidP="00552502">
            <w:pPr>
              <w:pStyle w:val="Texto"/>
              <w:spacing w:after="80" w:line="215"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BC5C9C9" w14:textId="77777777" w:rsidR="0098530D" w:rsidRPr="00AB7CA1" w:rsidRDefault="0098530D" w:rsidP="00552502">
            <w:pPr>
              <w:pStyle w:val="Texto"/>
              <w:spacing w:after="80" w:line="215" w:lineRule="exact"/>
              <w:ind w:firstLine="0"/>
              <w:jc w:val="center"/>
              <w:rPr>
                <w:b/>
              </w:rPr>
            </w:pPr>
            <w:r w:rsidRPr="00AB7CA1">
              <w:rPr>
                <w:b/>
              </w:rPr>
              <w:t>Primer antecedente</w:t>
            </w:r>
          </w:p>
        </w:tc>
      </w:tr>
      <w:tr w:rsidR="0098530D" w:rsidRPr="00AB7CA1" w14:paraId="52FF423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1D17A8E" w14:textId="77777777" w:rsidR="0098530D" w:rsidRPr="00AB7CA1" w:rsidRDefault="0098530D" w:rsidP="00552502">
            <w:pPr>
              <w:pStyle w:val="Texto"/>
              <w:spacing w:after="80" w:line="215" w:lineRule="exact"/>
              <w:ind w:firstLine="0"/>
            </w:pPr>
            <w:r w:rsidRPr="00AB7CA1">
              <w:t>2008</w:t>
            </w:r>
          </w:p>
        </w:tc>
        <w:tc>
          <w:tcPr>
            <w:tcW w:w="3237" w:type="pct"/>
            <w:tcBorders>
              <w:top w:val="single" w:sz="6" w:space="0" w:color="auto"/>
              <w:left w:val="single" w:sz="6" w:space="0" w:color="auto"/>
              <w:bottom w:val="single" w:sz="6" w:space="0" w:color="auto"/>
              <w:right w:val="single" w:sz="6" w:space="0" w:color="auto"/>
            </w:tcBorders>
          </w:tcPr>
          <w:p w14:paraId="4C577A65" w14:textId="77777777" w:rsidR="0098530D" w:rsidRPr="00AB7CA1" w:rsidRDefault="0098530D" w:rsidP="00552502">
            <w:pPr>
              <w:pStyle w:val="Texto"/>
              <w:spacing w:after="80" w:line="215" w:lineRule="exact"/>
              <w:ind w:firstLine="0"/>
            </w:pPr>
            <w:r w:rsidRPr="00AB7CA1">
              <w:t>Oficio 600-04-02-2008-77249 de 25 de noviembre de 2008, mediante el cual se da a conocer el criterio normativo en materia de IVA. Oficio 600-04-02-2009-73416 de 7 de enero de 2009, a través del cual se da a conocer el Boletín 2008, con número de criterio normativo 10/2008/IVA.</w:t>
            </w:r>
          </w:p>
        </w:tc>
      </w:tr>
    </w:tbl>
    <w:p w14:paraId="259D1E4A" w14:textId="77777777" w:rsidR="0098530D" w:rsidRPr="00AB7CA1" w:rsidRDefault="0098530D" w:rsidP="0098530D">
      <w:pPr>
        <w:pStyle w:val="Texto"/>
        <w:spacing w:after="80" w:line="215" w:lineRule="exact"/>
        <w:ind w:left="2736" w:hanging="1152"/>
        <w:rPr>
          <w:b/>
        </w:rPr>
      </w:pPr>
    </w:p>
    <w:p w14:paraId="179FC797" w14:textId="77777777" w:rsidR="0098530D" w:rsidRPr="00AB7CA1" w:rsidRDefault="0098530D" w:rsidP="0098530D">
      <w:pPr>
        <w:pStyle w:val="Texto"/>
        <w:spacing w:after="80" w:line="215" w:lineRule="exact"/>
        <w:ind w:left="2736" w:hanging="1152"/>
        <w:rPr>
          <w:b/>
          <w:lang w:val="es-ES_tradnl"/>
        </w:rPr>
      </w:pPr>
      <w:r w:rsidRPr="00AB7CA1">
        <w:rPr>
          <w:b/>
        </w:rPr>
        <w:t>15/IVA/N</w:t>
      </w:r>
      <w:r w:rsidRPr="00AB7CA1">
        <w:rPr>
          <w:b/>
        </w:rPr>
        <w:tab/>
      </w:r>
      <w:r w:rsidRPr="00AB7CA1">
        <w:rPr>
          <w:b/>
          <w:lang w:val="es-ES_tradnl"/>
        </w:rPr>
        <w:t>Enajenación de refacciones para equipo agrícola.</w:t>
      </w:r>
    </w:p>
    <w:p w14:paraId="67B8A300" w14:textId="77777777" w:rsidR="0098530D" w:rsidRPr="00AB7CA1" w:rsidRDefault="0098530D" w:rsidP="0098530D">
      <w:pPr>
        <w:pStyle w:val="Texto"/>
        <w:spacing w:after="80" w:line="215" w:lineRule="exact"/>
        <w:ind w:left="2736" w:hanging="1152"/>
        <w:rPr>
          <w:lang w:val="es-ES_tradnl"/>
        </w:rPr>
      </w:pPr>
      <w:r w:rsidRPr="00AB7CA1">
        <w:rPr>
          <w:b/>
          <w:lang w:val="es-ES_tradnl"/>
        </w:rPr>
        <w:tab/>
      </w:r>
      <w:r w:rsidRPr="00AB7CA1">
        <w:rPr>
          <w:lang w:val="es-ES_tradnl"/>
        </w:rPr>
        <w:t>El artículo 2o.-A, fracción I, inciso e), último párrafo de la Ley del IVA, establece que se aplicará la tasa del 0% a la enajenación de maquinaria y equipo agrícola, ganadero o de pesca, cuando dichos equipos se enajenen completos.</w:t>
      </w:r>
    </w:p>
    <w:p w14:paraId="31522B37" w14:textId="77777777" w:rsidR="0098530D" w:rsidRPr="00AB7CA1" w:rsidRDefault="0098530D" w:rsidP="0098530D">
      <w:pPr>
        <w:pStyle w:val="Texto"/>
        <w:spacing w:after="80" w:line="215" w:lineRule="exact"/>
        <w:ind w:left="2736" w:hanging="1152"/>
      </w:pPr>
      <w:r w:rsidRPr="00AB7CA1">
        <w:rPr>
          <w:lang w:val="es-ES_tradnl"/>
        </w:rPr>
        <w:tab/>
      </w:r>
      <w:r w:rsidRPr="00AB7CA1">
        <w:t>En sentido contrario, los contribuyentes que enajenen refacciones para maquinaria y equipo agrícola, ganadero o de pesca, están obligados al traslado y pago del IVA a la tasa del 16%.</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6812CF2C"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3850AC41" w14:textId="77777777" w:rsidR="0098530D" w:rsidRPr="00AB7CA1" w:rsidRDefault="0098530D" w:rsidP="00552502">
            <w:pPr>
              <w:pStyle w:val="Texto"/>
              <w:spacing w:after="80" w:line="215"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09ED1A33" w14:textId="77777777" w:rsidR="0098530D" w:rsidRPr="00AB7CA1" w:rsidRDefault="0098530D" w:rsidP="00552502">
            <w:pPr>
              <w:pStyle w:val="Texto"/>
              <w:spacing w:after="80" w:line="215" w:lineRule="exact"/>
              <w:ind w:firstLine="0"/>
              <w:jc w:val="center"/>
              <w:rPr>
                <w:b/>
              </w:rPr>
            </w:pPr>
            <w:r w:rsidRPr="00AB7CA1">
              <w:rPr>
                <w:b/>
              </w:rPr>
              <w:t>Primer antecedente</w:t>
            </w:r>
          </w:p>
        </w:tc>
      </w:tr>
      <w:tr w:rsidR="0098530D" w:rsidRPr="00AB7CA1" w14:paraId="7AC0939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4A2B11D" w14:textId="77777777" w:rsidR="0098530D" w:rsidRPr="00AB7CA1" w:rsidRDefault="0098530D" w:rsidP="00552502">
            <w:pPr>
              <w:pStyle w:val="Texto"/>
              <w:spacing w:after="80" w:line="215" w:lineRule="exact"/>
              <w:ind w:firstLine="0"/>
            </w:pPr>
            <w:r w:rsidRPr="00AB7CA1">
              <w:t>5.2.8.</w:t>
            </w:r>
          </w:p>
        </w:tc>
        <w:tc>
          <w:tcPr>
            <w:tcW w:w="3237" w:type="pct"/>
            <w:tcBorders>
              <w:top w:val="single" w:sz="6" w:space="0" w:color="auto"/>
              <w:left w:val="single" w:sz="6" w:space="0" w:color="auto"/>
              <w:bottom w:val="single" w:sz="6" w:space="0" w:color="auto"/>
              <w:right w:val="single" w:sz="6" w:space="0" w:color="auto"/>
            </w:tcBorders>
          </w:tcPr>
          <w:p w14:paraId="60716F1D" w14:textId="77777777" w:rsidR="0098530D" w:rsidRPr="00AB7CA1" w:rsidRDefault="0098530D" w:rsidP="00552502">
            <w:pPr>
              <w:pStyle w:val="Texto"/>
              <w:spacing w:after="80" w:line="215" w:lineRule="exact"/>
              <w:ind w:firstLine="0"/>
            </w:pPr>
            <w:r w:rsidRPr="00AB7CA1">
              <w:t>Oficio 102-SAT-13 de 4 de julio de 1997, a través del cual se emite la Compilación de Normatividad Sustantiva de Impuestos Internos.</w:t>
            </w:r>
          </w:p>
        </w:tc>
      </w:tr>
    </w:tbl>
    <w:p w14:paraId="48EBACFA" w14:textId="77777777" w:rsidR="0098530D" w:rsidRPr="00AB7CA1" w:rsidRDefault="0098530D" w:rsidP="0098530D">
      <w:pPr>
        <w:pStyle w:val="Texto"/>
        <w:spacing w:after="80" w:line="215" w:lineRule="exact"/>
        <w:ind w:left="2736" w:hanging="1152"/>
        <w:rPr>
          <w:b/>
        </w:rPr>
      </w:pPr>
    </w:p>
    <w:p w14:paraId="1457BC7A" w14:textId="77777777" w:rsidR="0098530D" w:rsidRPr="00AB7CA1" w:rsidRDefault="0098530D" w:rsidP="0098530D">
      <w:pPr>
        <w:pStyle w:val="Texto"/>
        <w:spacing w:after="80" w:line="215" w:lineRule="exact"/>
        <w:ind w:left="2736" w:hanging="1152"/>
        <w:rPr>
          <w:b/>
          <w:lang w:val="es-ES_tradnl"/>
        </w:rPr>
      </w:pPr>
      <w:r w:rsidRPr="00AB7CA1">
        <w:rPr>
          <w:b/>
        </w:rPr>
        <w:t>16/IVA/N</w:t>
      </w:r>
      <w:r w:rsidRPr="00AB7CA1">
        <w:rPr>
          <w:b/>
        </w:rPr>
        <w:tab/>
      </w:r>
      <w:r w:rsidRPr="00AB7CA1">
        <w:rPr>
          <w:b/>
          <w:lang w:val="es-ES_tradnl"/>
        </w:rPr>
        <w:t>Equipos integrados a invernaderos hidropónicos.</w:t>
      </w:r>
    </w:p>
    <w:p w14:paraId="04E65D01" w14:textId="77777777" w:rsidR="0098530D" w:rsidRPr="00AB7CA1" w:rsidRDefault="0098530D" w:rsidP="0098530D">
      <w:pPr>
        <w:pStyle w:val="Texto"/>
        <w:spacing w:after="80" w:line="215" w:lineRule="exact"/>
        <w:ind w:left="2736" w:hanging="1152"/>
        <w:rPr>
          <w:lang w:val="es-ES_tradnl"/>
        </w:rPr>
      </w:pPr>
      <w:r w:rsidRPr="00AB7CA1">
        <w:rPr>
          <w:lang w:val="es-ES_tradnl"/>
        </w:rPr>
        <w:tab/>
        <w:t>El artículo 2o.-A, fracción I, inciso g) de la Ley del IVA establece que la enajenación de invernaderos hidropónicos y equipos integrados a ellos para producir temperatura y humedad controladas o para proteger los cultivos de elementos naturales, está gravada a la tasa del 0%. No obstante, ni las disposiciones fiscales ni el derecho federal común establecen lo que debe entenderse por equipos integrados a invernaderos hidropónicos.</w:t>
      </w:r>
    </w:p>
    <w:p w14:paraId="148AAA2F" w14:textId="77777777" w:rsidR="0098530D" w:rsidRPr="00AB7CA1" w:rsidRDefault="0098530D" w:rsidP="0098530D">
      <w:pPr>
        <w:pStyle w:val="Texto"/>
        <w:spacing w:after="80" w:line="215" w:lineRule="exact"/>
        <w:ind w:left="2736" w:hanging="1152"/>
        <w:rPr>
          <w:lang w:val="es-ES_tradnl"/>
        </w:rPr>
      </w:pPr>
      <w:r w:rsidRPr="00AB7CA1">
        <w:rPr>
          <w:lang w:val="es-ES_tradnl"/>
        </w:rPr>
        <w:tab/>
        <w:t>En este sentido, para efectos del artículo 2o.-A, fracción I, inciso g) de la Ley del IVA, tendrán el carácter de equipos integrados a invernaderos hidropónicos, los bienes tangibles que tengan o no la calidad de activo fijo de conformidad con la Ley del ISR, que se enajenen conjuntamente con el invernadero hidropónico y así se haga constar en el CFDI correspondiente, siempre que el mencionado invernadero se trate de un producto terminado y los equipos cumplan con su función en conjunto con este. Se entiende que cumplen con su función los bienes señalados cuando su uso en los invernaderos hidropónicos consista en producir la temperatura y la humedad de forma controlada; o bien, proteger los cultivos de elementos naturales.</w:t>
      </w:r>
    </w:p>
    <w:p w14:paraId="26AF971B" w14:textId="77777777" w:rsidR="0098530D" w:rsidRPr="00AB7CA1" w:rsidRDefault="0098530D" w:rsidP="0098530D">
      <w:pPr>
        <w:pStyle w:val="Texto"/>
        <w:spacing w:after="80" w:line="215" w:lineRule="exact"/>
        <w:ind w:left="2736" w:hanging="1152"/>
        <w:rPr>
          <w:lang w:val="es-ES_tradnl"/>
        </w:rPr>
      </w:pPr>
      <w:r w:rsidRPr="00AB7CA1">
        <w:rPr>
          <w:lang w:val="es-ES_tradnl"/>
        </w:rPr>
        <w:tab/>
        <w:t>No se considerarán equipos integrados a invernaderos hidropónicos, y por tanto no son sujetos de la tasa del 0% en el IVA, aquellos bienes que, teniendo las características antes mencionadas, se enajenen de manera individual como insumos en la cadena de producción o elaboración, mejora, reparación y/o mantenimiento de los invernaderos hidropónicos, o bien, para optimizar su funcionamiento, aún cuando estos pudieran constituir elementos que componen dichos invernaderos o complementan su función.</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4FA336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3944ABF8" w14:textId="77777777" w:rsidR="0098530D" w:rsidRPr="00AB7CA1" w:rsidRDefault="0098530D" w:rsidP="00552502">
            <w:pPr>
              <w:pStyle w:val="Texto"/>
              <w:spacing w:after="80" w:line="215"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1A8615AC" w14:textId="77777777" w:rsidR="0098530D" w:rsidRPr="00AB7CA1" w:rsidRDefault="0098530D" w:rsidP="00552502">
            <w:pPr>
              <w:pStyle w:val="Texto"/>
              <w:spacing w:after="80" w:line="215" w:lineRule="exact"/>
              <w:ind w:firstLine="0"/>
              <w:jc w:val="center"/>
              <w:rPr>
                <w:b/>
              </w:rPr>
            </w:pPr>
            <w:r w:rsidRPr="00AB7CA1">
              <w:rPr>
                <w:b/>
              </w:rPr>
              <w:t>Primer antecedente</w:t>
            </w:r>
          </w:p>
        </w:tc>
      </w:tr>
      <w:tr w:rsidR="0098530D" w:rsidRPr="00AB7CA1" w14:paraId="6810148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2D9236E1" w14:textId="77777777" w:rsidR="0098530D" w:rsidRPr="00AB7CA1" w:rsidRDefault="0098530D" w:rsidP="00552502">
            <w:pPr>
              <w:pStyle w:val="Texto"/>
              <w:spacing w:after="80" w:line="215" w:lineRule="exact"/>
              <w:ind w:firstLine="0"/>
            </w:pPr>
            <w:r w:rsidRPr="00AB7CA1">
              <w:t>2013</w:t>
            </w:r>
          </w:p>
        </w:tc>
        <w:tc>
          <w:tcPr>
            <w:tcW w:w="3237" w:type="pct"/>
            <w:tcBorders>
              <w:top w:val="single" w:sz="6" w:space="0" w:color="auto"/>
              <w:left w:val="single" w:sz="6" w:space="0" w:color="auto"/>
              <w:bottom w:val="single" w:sz="6" w:space="0" w:color="auto"/>
              <w:right w:val="single" w:sz="6" w:space="0" w:color="auto"/>
            </w:tcBorders>
          </w:tcPr>
          <w:p w14:paraId="5D502E61" w14:textId="77777777" w:rsidR="0098530D" w:rsidRPr="00AB7CA1" w:rsidRDefault="0098530D" w:rsidP="00552502">
            <w:pPr>
              <w:pStyle w:val="Texto"/>
              <w:spacing w:after="80" w:line="215" w:lineRule="exact"/>
              <w:ind w:firstLine="0"/>
            </w:pPr>
            <w:r w:rsidRPr="00AB7CA1">
              <w:t>Oficio 600-04-07-2013-15282 de 10 de octubre de 2013, mediante el cual se dan a conocer los criterios normativos aprobados en el tercer trimestre 2013. Oficio 600-04-07-2013-16549 de 10 de diciembre de 2013, a través del cual se da a conocer el Boletín 2013, con el número de criterio normativo 125/2013/IVA.</w:t>
            </w:r>
          </w:p>
        </w:tc>
      </w:tr>
    </w:tbl>
    <w:p w14:paraId="4BEF8DD3" w14:textId="77777777" w:rsidR="0098530D" w:rsidRPr="00AB7CA1" w:rsidRDefault="0098530D" w:rsidP="0098530D">
      <w:pPr>
        <w:pStyle w:val="Texto"/>
        <w:spacing w:line="220" w:lineRule="exact"/>
        <w:ind w:left="2736" w:hanging="1152"/>
        <w:rPr>
          <w:b/>
          <w:lang w:val="es-ES_tradnl"/>
        </w:rPr>
      </w:pPr>
      <w:r w:rsidRPr="00AB7CA1">
        <w:rPr>
          <w:b/>
        </w:rPr>
        <w:t>17/IVA/N</w:t>
      </w:r>
      <w:r w:rsidRPr="00AB7CA1">
        <w:rPr>
          <w:b/>
        </w:rPr>
        <w:tab/>
      </w:r>
      <w:r w:rsidRPr="00AB7CA1">
        <w:rPr>
          <w:b/>
          <w:lang w:val="es-ES_tradnl"/>
        </w:rPr>
        <w:t>Libros contenidos en medios electrónicos, táctiles o auditivos. Tratamiento en materia de IVA.</w:t>
      </w:r>
    </w:p>
    <w:p w14:paraId="4020C63F" w14:textId="77777777" w:rsidR="0098530D" w:rsidRPr="00AB7CA1" w:rsidRDefault="0098530D" w:rsidP="0098530D">
      <w:pPr>
        <w:pStyle w:val="Texto"/>
        <w:spacing w:line="220" w:lineRule="exact"/>
        <w:ind w:left="2736" w:hanging="1152"/>
        <w:rPr>
          <w:lang w:val="es-ES_tradnl"/>
        </w:rPr>
      </w:pPr>
      <w:r w:rsidRPr="00AB7CA1">
        <w:rPr>
          <w:b/>
          <w:lang w:val="es-ES_tradnl"/>
        </w:rPr>
        <w:tab/>
      </w:r>
      <w:r w:rsidRPr="00AB7CA1">
        <w:rPr>
          <w:lang w:val="es-ES_tradnl"/>
        </w:rPr>
        <w:t>De conformidad con el artículo 2o-A, fracción I, inciso i) de la Ley del IVA, el impuesto se calculará aplicando la tasa del 0% a los valores a que se refiere dicha ley, cuando se enajenen libros, periódicos y revistas, que editen los propios contribuyentes.</w:t>
      </w:r>
    </w:p>
    <w:p w14:paraId="44623C9F" w14:textId="77777777" w:rsidR="0098530D" w:rsidRPr="00AB7CA1" w:rsidRDefault="0098530D" w:rsidP="0098530D">
      <w:pPr>
        <w:pStyle w:val="Texto"/>
        <w:spacing w:line="220" w:lineRule="exact"/>
        <w:ind w:left="2736" w:hanging="1152"/>
        <w:rPr>
          <w:lang w:val="es-ES_tradnl"/>
        </w:rPr>
      </w:pPr>
      <w:r w:rsidRPr="00AB7CA1">
        <w:rPr>
          <w:lang w:val="es-ES_tradnl"/>
        </w:rPr>
        <w:lastRenderedPageBreak/>
        <w:tab/>
        <w:t>El artículo 9o., fracción III de la Ley del IVA establece que no se pagará el citado impuesto, tratándose de la enajenación de libros, periódicos y revistas, así como el derecho para usar o explotar una obra, que realice su autor.</w:t>
      </w:r>
    </w:p>
    <w:p w14:paraId="07BC8285" w14:textId="77777777" w:rsidR="0098530D" w:rsidRPr="00AB7CA1" w:rsidRDefault="0098530D" w:rsidP="0098530D">
      <w:pPr>
        <w:pStyle w:val="Texto"/>
        <w:spacing w:line="220" w:lineRule="exact"/>
        <w:ind w:left="2736" w:hanging="1152"/>
        <w:rPr>
          <w:lang w:val="es-ES_tradnl"/>
        </w:rPr>
      </w:pPr>
      <w:r w:rsidRPr="00AB7CA1">
        <w:rPr>
          <w:lang w:val="es-ES_tradnl"/>
        </w:rPr>
        <w:tab/>
        <w:t>El artículo 20, fracción V de la Ley del IVA dispone que no se pagará el impuesto por el uso o goce temporal de libros, periódicos y revistas.</w:t>
      </w:r>
    </w:p>
    <w:p w14:paraId="65E7EB3A" w14:textId="77777777" w:rsidR="0098530D" w:rsidRPr="00AB7CA1" w:rsidRDefault="0098530D" w:rsidP="0098530D">
      <w:pPr>
        <w:pStyle w:val="Texto"/>
        <w:spacing w:line="220" w:lineRule="exact"/>
        <w:ind w:left="2736" w:hanging="1152"/>
        <w:rPr>
          <w:lang w:val="es-ES_tradnl"/>
        </w:rPr>
      </w:pPr>
      <w:r w:rsidRPr="00AB7CA1">
        <w:rPr>
          <w:lang w:val="es-ES_tradnl"/>
        </w:rPr>
        <w:tab/>
        <w:t xml:space="preserve">El referido </w:t>
      </w:r>
      <w:r w:rsidRPr="00AB7CA1">
        <w:t>artículo</w:t>
      </w:r>
      <w:r w:rsidRPr="00AB7CA1">
        <w:rPr>
          <w:lang w:val="es-ES_tradnl"/>
        </w:rPr>
        <w:t xml:space="preserve"> 2o.-A, fracción I, inciso i) estipula que, para los efectos de la Ley del IVA, se considera libro toda publicación, unitaria, no periódica, impresa en cualquier soporte, cuya edición se haga en un volumen o en varios volúmenes. De igual forma, el artículo en comento señala que, dentro del concepto de libros, no quedan comprendidas aquellas publicaciones periódicas amparadas bajo el mismo título o denominación y con diferente contenido entre una publicación y otra. Por último, señala que se considera que forman parte de los libros, los materiales complementarios que se acompañen a ellos, cuando no sean susceptibles de comercializarse separadamente. Se entiende que no tienen la característica de complementarios cuando los materiales pueden comercializarse independientemente del libro.</w:t>
      </w:r>
    </w:p>
    <w:p w14:paraId="0D37F1C8" w14:textId="77777777" w:rsidR="0098530D" w:rsidRPr="00AB7CA1" w:rsidRDefault="0098530D" w:rsidP="0098530D">
      <w:pPr>
        <w:pStyle w:val="Texto"/>
        <w:spacing w:line="220" w:lineRule="exact"/>
        <w:ind w:left="2736" w:hanging="1152"/>
        <w:rPr>
          <w:lang w:val="es-ES_tradnl"/>
        </w:rPr>
      </w:pPr>
      <w:r w:rsidRPr="00AB7CA1">
        <w:rPr>
          <w:lang w:val="es-ES_tradnl"/>
        </w:rPr>
        <w:tab/>
        <w:t>El artículo 5o., segundo párrafo del CFF determina que a falta de norma fiscal expresa, se aplicarán supletoriamente las disposiciones del derecho federal común cuando su aplicación no sea contraria a la naturaleza propia del derecho fiscal. Por su parte, el artículo 16 de la Ley Federal del Derecho de Autor, establece que las obras podrán hacerse del conocimiento público, entre otros actos, mediante la publicación que se define en la fracción II de dicho artículo como la reproducción de la obra en forma tangible y su puesta a disposición del público mediante ejemplares, o su almacenamiento permanente o provisional por medios electrónicos, que permitan al público leerla o conocerla visual, táctil o auditivamente.</w:t>
      </w:r>
    </w:p>
    <w:p w14:paraId="364333BD" w14:textId="77777777" w:rsidR="0098530D" w:rsidRPr="00AB7CA1" w:rsidRDefault="0098530D" w:rsidP="0098530D">
      <w:pPr>
        <w:pStyle w:val="Texto"/>
        <w:spacing w:line="220" w:lineRule="exact"/>
        <w:ind w:left="2736" w:hanging="1152"/>
        <w:rPr>
          <w:lang w:val="es-ES_tradnl"/>
        </w:rPr>
      </w:pPr>
      <w:r w:rsidRPr="00AB7CA1">
        <w:rPr>
          <w:lang w:val="es-ES_tradnl"/>
        </w:rPr>
        <w:tab/>
        <w:t>De una interpretación armónica de las disposiciones legales antes expuestas, se desprende que la definición del término “libro” establecido en la Ley del IVA y en la Ley Federal del Derecho de Autor, incluye aquellos libros contenidos en medios electrónicos, táctiles y auditivos; en este sentido, para los efectos de los artículos 2o.-A, fracción I, inciso i); 9 fracción III, y 20 fracción V de la Ley del IVA, según sea el caso, se aplicará la tasa del 0% o no se pagará dicho impuesto.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BAF5AA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4B24A856" w14:textId="77777777" w:rsidR="0098530D" w:rsidRPr="00AB7CA1" w:rsidRDefault="0098530D" w:rsidP="00552502">
            <w:pPr>
              <w:pStyle w:val="Texto"/>
              <w:spacing w:line="220"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85ABA71" w14:textId="77777777" w:rsidR="0098530D" w:rsidRPr="00AB7CA1" w:rsidRDefault="0098530D" w:rsidP="00552502">
            <w:pPr>
              <w:pStyle w:val="Texto"/>
              <w:spacing w:line="220" w:lineRule="exact"/>
              <w:ind w:firstLine="0"/>
              <w:jc w:val="center"/>
              <w:rPr>
                <w:b/>
              </w:rPr>
            </w:pPr>
            <w:r w:rsidRPr="00AB7CA1">
              <w:rPr>
                <w:b/>
              </w:rPr>
              <w:t>Primer antecedente</w:t>
            </w:r>
          </w:p>
        </w:tc>
      </w:tr>
      <w:tr w:rsidR="0098530D" w:rsidRPr="00AB7CA1" w14:paraId="3FA33172"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1360EE4" w14:textId="77777777" w:rsidR="0098530D" w:rsidRPr="00AB7CA1" w:rsidRDefault="0098530D" w:rsidP="00552502">
            <w:pPr>
              <w:pStyle w:val="Texto"/>
              <w:spacing w:line="220" w:lineRule="exact"/>
              <w:ind w:firstLine="0"/>
            </w:pPr>
            <w:r w:rsidRPr="00AB7CA1">
              <w:t>17/2002/IVA</w:t>
            </w:r>
          </w:p>
        </w:tc>
        <w:tc>
          <w:tcPr>
            <w:tcW w:w="3237" w:type="pct"/>
            <w:tcBorders>
              <w:top w:val="single" w:sz="6" w:space="0" w:color="auto"/>
              <w:left w:val="single" w:sz="6" w:space="0" w:color="auto"/>
              <w:bottom w:val="single" w:sz="6" w:space="0" w:color="auto"/>
              <w:right w:val="single" w:sz="6" w:space="0" w:color="auto"/>
            </w:tcBorders>
          </w:tcPr>
          <w:p w14:paraId="11E60038" w14:textId="77777777" w:rsidR="0098530D" w:rsidRPr="00AB7CA1" w:rsidRDefault="0098530D" w:rsidP="00552502">
            <w:pPr>
              <w:pStyle w:val="Texto"/>
              <w:spacing w:line="220" w:lineRule="exact"/>
              <w:ind w:firstLine="0"/>
            </w:pPr>
            <w:r w:rsidRPr="00AB7CA1">
              <w:t>Oficio 325-SAT-A-31676 de 24 de mayo de 2002.</w:t>
            </w:r>
          </w:p>
        </w:tc>
      </w:tr>
    </w:tbl>
    <w:p w14:paraId="72ACC43B" w14:textId="77777777" w:rsidR="0098530D" w:rsidRPr="00AB7CA1" w:rsidRDefault="0098530D" w:rsidP="0098530D">
      <w:pPr>
        <w:pStyle w:val="Texto"/>
        <w:spacing w:line="220" w:lineRule="exact"/>
        <w:ind w:left="2736" w:hanging="1152"/>
        <w:rPr>
          <w:b/>
        </w:rPr>
      </w:pPr>
    </w:p>
    <w:p w14:paraId="68F0FD79" w14:textId="77777777" w:rsidR="0098530D" w:rsidRPr="00AB7CA1" w:rsidRDefault="0098530D" w:rsidP="0098530D">
      <w:pPr>
        <w:pStyle w:val="Texto"/>
        <w:spacing w:line="220" w:lineRule="exact"/>
        <w:ind w:left="2736" w:hanging="1152"/>
        <w:rPr>
          <w:b/>
          <w:lang w:val="es-ES_tradnl"/>
        </w:rPr>
      </w:pPr>
      <w:r w:rsidRPr="00AB7CA1">
        <w:rPr>
          <w:b/>
        </w:rPr>
        <w:t>18/IVA/N</w:t>
      </w:r>
      <w:r w:rsidRPr="00AB7CA1">
        <w:rPr>
          <w:b/>
        </w:rPr>
        <w:tab/>
      </w:r>
      <w:r w:rsidRPr="00AB7CA1">
        <w:rPr>
          <w:b/>
          <w:lang w:val="es-ES_tradnl"/>
        </w:rPr>
        <w:t>Cargos entre líneas aéreas.</w:t>
      </w:r>
    </w:p>
    <w:p w14:paraId="0038F67C" w14:textId="77777777" w:rsidR="0098530D" w:rsidRPr="00AB7CA1" w:rsidRDefault="0098530D" w:rsidP="0098530D">
      <w:pPr>
        <w:pStyle w:val="Texto"/>
        <w:spacing w:line="220" w:lineRule="exact"/>
        <w:ind w:left="2736" w:hanging="1152"/>
        <w:rPr>
          <w:lang w:val="es-ES_tradnl"/>
        </w:rPr>
      </w:pPr>
      <w:r w:rsidRPr="00AB7CA1">
        <w:rPr>
          <w:b/>
          <w:lang w:val="es-ES_tradnl"/>
        </w:rPr>
        <w:tab/>
      </w:r>
      <w:r w:rsidRPr="00AB7CA1">
        <w:rPr>
          <w:lang w:val="es-ES_tradnl"/>
        </w:rPr>
        <w:t>El artículo 32 del Reglamento de la Ley del IVA dispone que el servicio de transporte que presta una línea aérea amparado con un boleto expedido por una línea aérea distinta, es la misma prestación de servicios por la cual ya se causó el IVA al expedirse el boleto, por lo que el cargo que la línea aérea que presta el servicio hace por este concepto a la que expidió el boleto, no está sujeto al pago de dicho impuesto.</w:t>
      </w:r>
    </w:p>
    <w:p w14:paraId="24549943" w14:textId="77777777" w:rsidR="0098530D" w:rsidRPr="00AB7CA1" w:rsidRDefault="0098530D" w:rsidP="0098530D">
      <w:pPr>
        <w:pStyle w:val="Texto"/>
        <w:spacing w:line="220" w:lineRule="exact"/>
        <w:ind w:left="2736" w:hanging="1152"/>
        <w:rPr>
          <w:lang w:val="es-ES_tradnl"/>
        </w:rPr>
      </w:pPr>
      <w:r w:rsidRPr="00AB7CA1">
        <w:rPr>
          <w:lang w:val="es-ES_tradnl"/>
        </w:rPr>
        <w:tab/>
        <w:t>El artículo 2o.-A, fracción II de la misma ley establece de manera limitativa los supuestos para aplicar la tasa 0%, dentro de los cuales no se encuentran los cargos entre líneas aéreas.</w:t>
      </w:r>
    </w:p>
    <w:p w14:paraId="5C886B3E" w14:textId="77777777" w:rsidR="0098530D" w:rsidRPr="00AB7CA1" w:rsidRDefault="0098530D" w:rsidP="0098530D">
      <w:pPr>
        <w:pStyle w:val="Texto"/>
        <w:spacing w:line="225" w:lineRule="exact"/>
        <w:ind w:left="2736" w:hanging="1152"/>
        <w:rPr>
          <w:lang w:val="es-ES_tradnl"/>
        </w:rPr>
      </w:pPr>
      <w:r w:rsidRPr="00AB7CA1">
        <w:rPr>
          <w:lang w:val="es-ES_tradnl"/>
        </w:rPr>
        <w:tab/>
        <w:t>Por lo tanto, es improcedente la devolución del IVA que soliciten las compañías aéreas que apliquen la tasa del 0% a los cargos entre líneas aéreas. Ello, en virtud de que dichos servicios no están afectos a la mencionada tasa, de conformidad con el artículo 2o.-A, fracción II de la Ley del IVA, sino exentos conforme al artículo 32 de su Reglamento.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BCAAED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788711D2" w14:textId="77777777" w:rsidR="0098530D" w:rsidRPr="00AB7CA1" w:rsidRDefault="0098530D" w:rsidP="00552502">
            <w:pPr>
              <w:pStyle w:val="Texto"/>
              <w:spacing w:line="225" w:lineRule="exact"/>
              <w:ind w:firstLine="0"/>
              <w:jc w:val="center"/>
              <w:rPr>
                <w:b/>
              </w:rPr>
            </w:pPr>
            <w:r w:rsidRPr="00AB7CA1">
              <w:rPr>
                <w:b/>
              </w:rPr>
              <w:lastRenderedPageBreak/>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70C39F7F" w14:textId="77777777" w:rsidR="0098530D" w:rsidRPr="00AB7CA1" w:rsidRDefault="0098530D" w:rsidP="00552502">
            <w:pPr>
              <w:pStyle w:val="Texto"/>
              <w:spacing w:line="225" w:lineRule="exact"/>
              <w:ind w:firstLine="0"/>
              <w:jc w:val="center"/>
              <w:rPr>
                <w:b/>
              </w:rPr>
            </w:pPr>
            <w:r w:rsidRPr="00AB7CA1">
              <w:rPr>
                <w:b/>
              </w:rPr>
              <w:t>Primer antecedente</w:t>
            </w:r>
          </w:p>
        </w:tc>
      </w:tr>
      <w:tr w:rsidR="0098530D" w:rsidRPr="00AB7CA1" w14:paraId="05B38925"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9A34B7F" w14:textId="77777777" w:rsidR="0098530D" w:rsidRPr="00AB7CA1" w:rsidRDefault="0098530D" w:rsidP="00552502">
            <w:pPr>
              <w:pStyle w:val="Texto"/>
              <w:spacing w:line="225" w:lineRule="exact"/>
              <w:ind w:firstLine="0"/>
            </w:pPr>
            <w:r w:rsidRPr="00AB7CA1">
              <w:t>8.</w:t>
            </w:r>
          </w:p>
        </w:tc>
        <w:tc>
          <w:tcPr>
            <w:tcW w:w="3237" w:type="pct"/>
            <w:tcBorders>
              <w:top w:val="single" w:sz="6" w:space="0" w:color="auto"/>
              <w:left w:val="single" w:sz="6" w:space="0" w:color="auto"/>
              <w:bottom w:val="single" w:sz="6" w:space="0" w:color="auto"/>
              <w:right w:val="single" w:sz="6" w:space="0" w:color="auto"/>
            </w:tcBorders>
          </w:tcPr>
          <w:p w14:paraId="1894209B" w14:textId="77777777" w:rsidR="0098530D" w:rsidRPr="00AB7CA1" w:rsidRDefault="0098530D" w:rsidP="00552502">
            <w:pPr>
              <w:pStyle w:val="Texto"/>
              <w:spacing w:line="225" w:lineRule="exact"/>
              <w:ind w:firstLine="0"/>
            </w:pPr>
            <w:r w:rsidRPr="00AB7CA1">
              <w:t>Oficio 325-A-VII-10960 de 14 de octubre de 1996, a través del cual se hacen de conocimiento los criterios aprobados por el Comité de Normatividad en su sesión No. 21, celebrada el 10 de octubre de 1996.</w:t>
            </w:r>
          </w:p>
        </w:tc>
      </w:tr>
    </w:tbl>
    <w:p w14:paraId="53A0F1B5" w14:textId="77777777" w:rsidR="0098530D" w:rsidRPr="00AB7CA1" w:rsidRDefault="0098530D" w:rsidP="0098530D">
      <w:pPr>
        <w:pStyle w:val="Texto"/>
        <w:spacing w:line="225" w:lineRule="exact"/>
        <w:ind w:left="2736" w:hanging="1152"/>
        <w:rPr>
          <w:b/>
        </w:rPr>
      </w:pPr>
    </w:p>
    <w:p w14:paraId="60659F78" w14:textId="77777777" w:rsidR="0098530D" w:rsidRPr="00AB7CA1" w:rsidRDefault="0098530D" w:rsidP="0098530D">
      <w:pPr>
        <w:pStyle w:val="Texto"/>
        <w:spacing w:line="225" w:lineRule="exact"/>
        <w:ind w:left="2736" w:hanging="1152"/>
        <w:rPr>
          <w:b/>
        </w:rPr>
      </w:pPr>
      <w:r w:rsidRPr="00AB7CA1">
        <w:rPr>
          <w:b/>
        </w:rPr>
        <w:t>19/IVA/N</w:t>
      </w:r>
      <w:r w:rsidRPr="00AB7CA1">
        <w:rPr>
          <w:b/>
        </w:rPr>
        <w:tab/>
        <w:t>Prestación de servicios a sociedades dedicadas a actividades agrícolas y ganaderas.</w:t>
      </w:r>
    </w:p>
    <w:p w14:paraId="35A39BF5" w14:textId="77777777" w:rsidR="0098530D" w:rsidRPr="00AB7CA1" w:rsidRDefault="0098530D" w:rsidP="0098530D">
      <w:pPr>
        <w:pStyle w:val="Texto"/>
        <w:spacing w:line="225" w:lineRule="exact"/>
        <w:ind w:left="2736" w:hanging="1152"/>
      </w:pPr>
      <w:r w:rsidRPr="00AB7CA1">
        <w:rPr>
          <w:b/>
        </w:rPr>
        <w:tab/>
      </w:r>
      <w:r w:rsidRPr="00AB7CA1">
        <w:t>El artículo 2o.-A, fracción II, inciso a) de la Ley del IVA establece que se calculará el impuesto aplicando la tasa del 0%, cuando se presten los servicios a que se refiere ese numeral directamente a los agricultores y ganaderos, siempre que se destinen a actividades agropecuarias.</w:t>
      </w:r>
    </w:p>
    <w:p w14:paraId="60A2C5EB" w14:textId="77777777" w:rsidR="0098530D" w:rsidRPr="00AB7CA1" w:rsidRDefault="0098530D" w:rsidP="0098530D">
      <w:pPr>
        <w:pStyle w:val="Texto"/>
        <w:spacing w:line="226" w:lineRule="exact"/>
        <w:ind w:left="2736" w:hanging="1152"/>
      </w:pPr>
      <w:r w:rsidRPr="00AB7CA1">
        <w:tab/>
        <w:t>El artículo 11 del Reglamento de dicha Ley señala que se entiende que los servicios se prestan directamente a los agricultores y ganaderos, cuando sea en virtud de contratos celebrados con asociaciones u organizaciones que los agrupen o con alguna institución de crédito que actúe en su carácter de fiduciaria en los que los agricultores, los ganaderos u organizaciones que los agrupen sean fideicomisarios, cuando no se hayan designado fideicomisarios o estos no puedan individualizarse y cuando se trate de fideicomisos de apoyo a dichos agricultores o ganaderos.</w:t>
      </w:r>
    </w:p>
    <w:p w14:paraId="5F8F9FE3" w14:textId="77777777" w:rsidR="0098530D" w:rsidRPr="00AB7CA1" w:rsidRDefault="0098530D" w:rsidP="0098530D">
      <w:pPr>
        <w:pStyle w:val="Texto"/>
        <w:spacing w:line="226" w:lineRule="exact"/>
        <w:ind w:left="2736" w:hanging="1152"/>
      </w:pPr>
      <w:r w:rsidRPr="00AB7CA1">
        <w:tab/>
        <w:t>El artículo 16, fracciones III y IV y último párrafo del CFF, dispone que empresa es la persona física o moral que realiza actividades agrícolas y ganaderas, asimismo, el artículo 74, sexto párrafo de la Ley del ISR, señala que se consideran personas morales dedicadas exclusivamente a las actividades agrícolas, ganaderas, pesqueras o silvícolas, aquéllas cuyos ingresos por dichas actividades representan cuando menos el 90% de sus ingresos totales, sin incluir los ingresos por las enajenaciones de activos fijos o activos fijos y terrenos, de su propiedad que hubiesen estado afectos a su actividad. Por su parte, el artículo 113-E, último párrafo de la Ley del ISR, establece que se consideran personas físicas dedicadas exclusivamente a las actividades agrícolas, ganaderas, silvícolas o pesqueras, cuando el total de sus ingresos representan el 100% por estas actividades.</w:t>
      </w:r>
    </w:p>
    <w:p w14:paraId="23F5A74D" w14:textId="77777777" w:rsidR="0098530D" w:rsidRPr="00AB7CA1" w:rsidRDefault="0098530D" w:rsidP="0098530D">
      <w:pPr>
        <w:pStyle w:val="Texto"/>
        <w:spacing w:line="225" w:lineRule="exact"/>
        <w:ind w:left="2736" w:hanging="1152"/>
      </w:pPr>
      <w:r w:rsidRPr="00AB7CA1">
        <w:tab/>
        <w:t>De una interpretación armónica de las disposiciones legales antes expuestas se desprende que una empresa, persona física o moral, que realiza actividades agrícolas y ganaderas también gozará de la tasa del 0% a que se refiere el artículo 2o.-A, fracción II, inciso a) de la Ley del IVA, cuando esta reciba directamente los servicios que en el citado inciso se señalan y los mismos sean destinados a actividades agropecuarias.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321625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21FF4AA" w14:textId="77777777" w:rsidR="0098530D" w:rsidRPr="00AB7CA1" w:rsidRDefault="0098530D" w:rsidP="00552502">
            <w:pPr>
              <w:pStyle w:val="Texto"/>
              <w:spacing w:line="225"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EF9E05F" w14:textId="77777777" w:rsidR="0098530D" w:rsidRPr="00AB7CA1" w:rsidRDefault="0098530D" w:rsidP="00552502">
            <w:pPr>
              <w:pStyle w:val="Texto"/>
              <w:spacing w:line="225" w:lineRule="exact"/>
              <w:ind w:firstLine="0"/>
              <w:jc w:val="center"/>
              <w:rPr>
                <w:b/>
              </w:rPr>
            </w:pPr>
            <w:r w:rsidRPr="00AB7CA1">
              <w:rPr>
                <w:b/>
              </w:rPr>
              <w:t>Primer antecedente</w:t>
            </w:r>
          </w:p>
        </w:tc>
      </w:tr>
      <w:tr w:rsidR="0098530D" w:rsidRPr="00AB7CA1" w14:paraId="2DE1353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2C6AEE7" w14:textId="77777777" w:rsidR="0098530D" w:rsidRPr="00AB7CA1" w:rsidRDefault="0098530D" w:rsidP="00552502">
            <w:pPr>
              <w:pStyle w:val="Texto"/>
              <w:spacing w:line="225" w:lineRule="exact"/>
              <w:ind w:firstLine="0"/>
            </w:pPr>
            <w:r w:rsidRPr="00AB7CA1">
              <w:t>2014</w:t>
            </w:r>
          </w:p>
        </w:tc>
        <w:tc>
          <w:tcPr>
            <w:tcW w:w="3237" w:type="pct"/>
            <w:tcBorders>
              <w:top w:val="single" w:sz="6" w:space="0" w:color="auto"/>
              <w:left w:val="single" w:sz="6" w:space="0" w:color="auto"/>
              <w:bottom w:val="single" w:sz="6" w:space="0" w:color="auto"/>
              <w:right w:val="single" w:sz="6" w:space="0" w:color="auto"/>
            </w:tcBorders>
          </w:tcPr>
          <w:p w14:paraId="1B307ABC" w14:textId="77777777" w:rsidR="0098530D" w:rsidRPr="00AB7CA1" w:rsidRDefault="0098530D" w:rsidP="00552502">
            <w:pPr>
              <w:pStyle w:val="Texto"/>
              <w:spacing w:line="225" w:lineRule="exact"/>
              <w:ind w:firstLine="0"/>
            </w:pPr>
            <w:r w:rsidRPr="00AB7CA1">
              <w:t>Oficio 600-04-07-2014-6142 de 14 de agosto de 2014, mediante el cual se dan a conocer de manera anticipada los nuevos criterios normativos aprobados en el tercer trimestre 2014. Oficio 600-04-07-2014-87371 de 17 de diciembre de 2014, a través del cual se da a conocer el Boletín 2014, con el número de criterio normativo 20/2014/IVA.</w:t>
            </w:r>
          </w:p>
        </w:tc>
      </w:tr>
    </w:tbl>
    <w:p w14:paraId="33C39BA8" w14:textId="77777777" w:rsidR="0098530D" w:rsidRPr="00AB7CA1" w:rsidRDefault="0098530D" w:rsidP="0098530D">
      <w:pPr>
        <w:pStyle w:val="Texto"/>
        <w:spacing w:after="88"/>
        <w:ind w:left="2736" w:hanging="1152"/>
        <w:rPr>
          <w:b/>
          <w:lang w:val="es-ES_tradnl"/>
        </w:rPr>
      </w:pPr>
      <w:r w:rsidRPr="00AB7CA1">
        <w:rPr>
          <w:b/>
        </w:rPr>
        <w:t>20/IVA/N</w:t>
      </w:r>
      <w:r w:rsidRPr="00AB7CA1">
        <w:rPr>
          <w:b/>
        </w:rPr>
        <w:tab/>
      </w:r>
      <w:r w:rsidRPr="00AB7CA1">
        <w:rPr>
          <w:b/>
          <w:lang w:val="es-ES_tradnl"/>
        </w:rPr>
        <w:t>Prestación de servicios en invernaderos hidropónicos. Aplicación de la tasa del 0%.</w:t>
      </w:r>
    </w:p>
    <w:p w14:paraId="72374E99" w14:textId="77777777" w:rsidR="0098530D" w:rsidRPr="00AB7CA1" w:rsidRDefault="0098530D" w:rsidP="0098530D">
      <w:pPr>
        <w:pStyle w:val="Texto"/>
        <w:spacing w:after="88"/>
        <w:ind w:left="2736" w:hanging="1152"/>
        <w:rPr>
          <w:lang w:val="es-ES_tradnl"/>
        </w:rPr>
      </w:pPr>
      <w:r w:rsidRPr="00AB7CA1">
        <w:rPr>
          <w:b/>
          <w:lang w:val="es-ES_tradnl"/>
        </w:rPr>
        <w:lastRenderedPageBreak/>
        <w:tab/>
      </w:r>
      <w:r w:rsidRPr="00AB7CA1">
        <w:rPr>
          <w:lang w:val="es-ES_tradnl"/>
        </w:rPr>
        <w:t>El artículo 2o.-A, fracción II, inciso d) de la Ley del IVA establece que se calculará dicho impuesto aplicando la tasa del 0%, cuando se presten servicios independientes en invernaderos hidropónicos.</w:t>
      </w:r>
    </w:p>
    <w:p w14:paraId="4ECF4A3A" w14:textId="77777777" w:rsidR="0098530D" w:rsidRPr="00AB7CA1" w:rsidRDefault="0098530D" w:rsidP="0098530D">
      <w:pPr>
        <w:pStyle w:val="Texto"/>
        <w:spacing w:after="88"/>
        <w:ind w:left="2736" w:hanging="1152"/>
        <w:rPr>
          <w:lang w:val="es-ES_tradnl"/>
        </w:rPr>
      </w:pPr>
      <w:r w:rsidRPr="00AB7CA1">
        <w:rPr>
          <w:lang w:val="es-ES_tradnl"/>
        </w:rPr>
        <w:tab/>
        <w:t>Dado lo anterior, el IVA se calculará a la tasa del 0%, únicamente cuando el servicio independiente sea prestado en invernaderos hidropónicos, es decir, en invernaderos que ya están constituidos como tales.</w:t>
      </w:r>
    </w:p>
    <w:p w14:paraId="015F7CA6" w14:textId="77777777" w:rsidR="0098530D" w:rsidRPr="00AB7CA1" w:rsidRDefault="0098530D" w:rsidP="0098530D">
      <w:pPr>
        <w:pStyle w:val="Texto"/>
        <w:spacing w:after="88"/>
        <w:ind w:left="2736" w:hanging="1152"/>
        <w:rPr>
          <w:lang w:val="es-ES_tradnl"/>
        </w:rPr>
      </w:pPr>
      <w:r w:rsidRPr="00AB7CA1">
        <w:rPr>
          <w:lang w:val="es-ES_tradnl"/>
        </w:rPr>
        <w:tab/>
        <w:t>Por lo tanto, en términos del artículo 5o. del CFF el supuesto antes señalado no puede ser ampliado o hacerse extensivo a otros casos de prestación de servicios no previstos específicamente en la ley, como aquellos servicios que se lleven a cabo para construir, habilitar o montar dichos invernaderos.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4EC53A32"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473D9D28" w14:textId="77777777" w:rsidR="0098530D" w:rsidRPr="00AB7CA1" w:rsidRDefault="0098530D" w:rsidP="00552502">
            <w:pPr>
              <w:pStyle w:val="Texto"/>
              <w:spacing w:after="88"/>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1C2F1DC" w14:textId="77777777" w:rsidR="0098530D" w:rsidRPr="00AB7CA1" w:rsidRDefault="0098530D" w:rsidP="00552502">
            <w:pPr>
              <w:pStyle w:val="Texto"/>
              <w:spacing w:after="88"/>
              <w:ind w:firstLine="0"/>
              <w:jc w:val="center"/>
              <w:rPr>
                <w:b/>
              </w:rPr>
            </w:pPr>
            <w:r w:rsidRPr="00AB7CA1">
              <w:rPr>
                <w:b/>
              </w:rPr>
              <w:t>Primer antecedente</w:t>
            </w:r>
          </w:p>
        </w:tc>
      </w:tr>
      <w:tr w:rsidR="0098530D" w:rsidRPr="00AB7CA1" w14:paraId="07508A8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F566F9F" w14:textId="77777777" w:rsidR="0098530D" w:rsidRPr="00AB7CA1" w:rsidRDefault="0098530D" w:rsidP="00552502">
            <w:pPr>
              <w:pStyle w:val="Texto"/>
              <w:spacing w:after="88"/>
              <w:ind w:firstLine="0"/>
            </w:pPr>
            <w:r w:rsidRPr="00AB7CA1">
              <w:t>18/2002/IVA</w:t>
            </w:r>
          </w:p>
        </w:tc>
        <w:tc>
          <w:tcPr>
            <w:tcW w:w="3237" w:type="pct"/>
            <w:tcBorders>
              <w:top w:val="single" w:sz="6" w:space="0" w:color="auto"/>
              <w:left w:val="single" w:sz="6" w:space="0" w:color="auto"/>
              <w:bottom w:val="single" w:sz="6" w:space="0" w:color="auto"/>
              <w:right w:val="single" w:sz="6" w:space="0" w:color="auto"/>
            </w:tcBorders>
          </w:tcPr>
          <w:p w14:paraId="32051056" w14:textId="77777777" w:rsidR="0098530D" w:rsidRPr="00AB7CA1" w:rsidRDefault="0098530D" w:rsidP="00552502">
            <w:pPr>
              <w:pStyle w:val="Texto"/>
              <w:spacing w:after="88"/>
              <w:ind w:firstLine="0"/>
            </w:pPr>
            <w:r w:rsidRPr="00AB7CA1">
              <w:t>Oficio 325-SAT-A-31676 de 24 de mayo de 2002, a través del cual se emite la Primera Actualización de la Compilación Sustantiva de Impuestos Internos.</w:t>
            </w:r>
          </w:p>
        </w:tc>
      </w:tr>
    </w:tbl>
    <w:p w14:paraId="37DF74B3" w14:textId="77777777" w:rsidR="0098530D" w:rsidRPr="00AB7CA1" w:rsidRDefault="0098530D" w:rsidP="0098530D">
      <w:pPr>
        <w:pStyle w:val="Texto"/>
        <w:spacing w:after="88"/>
        <w:ind w:left="2736" w:hanging="1152"/>
        <w:rPr>
          <w:b/>
        </w:rPr>
      </w:pPr>
    </w:p>
    <w:p w14:paraId="128CC315" w14:textId="77777777" w:rsidR="0098530D" w:rsidRPr="00AB7CA1" w:rsidRDefault="0098530D" w:rsidP="0098530D">
      <w:pPr>
        <w:pStyle w:val="Texto"/>
        <w:spacing w:after="88"/>
        <w:ind w:left="2736" w:hanging="1152"/>
        <w:rPr>
          <w:b/>
          <w:lang w:val="es-ES_tradnl"/>
        </w:rPr>
      </w:pPr>
      <w:r w:rsidRPr="00AB7CA1">
        <w:rPr>
          <w:b/>
        </w:rPr>
        <w:t>21/IVA/N</w:t>
      </w:r>
      <w:r w:rsidRPr="00AB7CA1">
        <w:rPr>
          <w:b/>
        </w:rPr>
        <w:tab/>
      </w:r>
      <w:r w:rsidRPr="00AB7CA1">
        <w:rPr>
          <w:b/>
          <w:lang w:val="es-ES_tradnl"/>
        </w:rPr>
        <w:t>IVA en importaciones que realice la Federación, los Estados, los Municipios, así como sus organismos descentralizados y las instituciones públicas de seguridad social.</w:t>
      </w:r>
    </w:p>
    <w:p w14:paraId="3D24BE1E" w14:textId="77777777" w:rsidR="0098530D" w:rsidRPr="00AB7CA1" w:rsidRDefault="0098530D" w:rsidP="0098530D">
      <w:pPr>
        <w:pStyle w:val="Texto"/>
        <w:spacing w:after="88"/>
        <w:ind w:left="2736" w:hanging="1152"/>
        <w:rPr>
          <w:lang w:val="es-ES_tradnl"/>
        </w:rPr>
      </w:pPr>
      <w:r w:rsidRPr="00AB7CA1">
        <w:rPr>
          <w:b/>
          <w:lang w:val="es-ES_tradnl"/>
        </w:rPr>
        <w:tab/>
      </w:r>
      <w:r w:rsidRPr="00AB7CA1">
        <w:rPr>
          <w:lang w:val="es-ES_tradnl"/>
        </w:rPr>
        <w:t>El artículo 3o., segundo párrafo de la Ley del IVA, establece que la Federación, el Distrito Federal, los Estados, los Municipios, así como sus organismos descentralizados y las instituciones públicas de seguridad social, no estarán obligados a pagar el IVA por los actos que realicen que den lugar al pago de derechos. Dentro de este último concepto quedan comprendidos los derechos federales, estatales o municipales.</w:t>
      </w:r>
    </w:p>
    <w:p w14:paraId="459E554C" w14:textId="77777777" w:rsidR="0098530D" w:rsidRPr="00AB7CA1" w:rsidRDefault="0098530D" w:rsidP="0098530D">
      <w:pPr>
        <w:pStyle w:val="Texto"/>
        <w:spacing w:after="88"/>
        <w:ind w:left="2736" w:hanging="1152"/>
        <w:rPr>
          <w:lang w:val="es-ES_tradnl"/>
        </w:rPr>
      </w:pPr>
      <w:r w:rsidRPr="00AB7CA1">
        <w:rPr>
          <w:lang w:val="es-ES_tradnl"/>
        </w:rPr>
        <w:tab/>
        <w:t>El artículo 49 de la LFD regula el pago del derecho de trámite aduanero por recibir los servicios consistentes en las operaciones que se efectúen utilizando un pedimento o el documento aduanero correspondiente, a que se refiere dicho artículo y no así por el acto de la importación.</w:t>
      </w:r>
    </w:p>
    <w:p w14:paraId="663B1AA0" w14:textId="77777777" w:rsidR="0098530D" w:rsidRPr="00AB7CA1" w:rsidRDefault="0098530D" w:rsidP="0098530D">
      <w:pPr>
        <w:pStyle w:val="Texto"/>
        <w:spacing w:after="88"/>
        <w:ind w:left="2736" w:hanging="1152"/>
        <w:rPr>
          <w:lang w:val="es-ES_tradnl"/>
        </w:rPr>
      </w:pPr>
      <w:r w:rsidRPr="00AB7CA1">
        <w:rPr>
          <w:lang w:val="es-ES_tradnl"/>
        </w:rPr>
        <w:tab/>
        <w:t>En ese sentido, la exención del IVA contenida en el segundo párrafo del artículo 3o. de la Ley del IVA, no resulta aplicable al impuesto por las importaciones que realicen la Federación, el Distrito Federal, los Estados, los Municipios, así como sus organismos descentralizados y las instituciones públicas de seguridad social, aún cuando paguen el derecho a que se refiere el párrafo anterior, ya que este se paga por recibir los servicios de trámite aduanero, que son distintos al acto de importación.</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59B3B18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04795A0C" w14:textId="77777777" w:rsidR="0098530D" w:rsidRPr="00AB7CA1" w:rsidRDefault="0098530D" w:rsidP="00552502">
            <w:pPr>
              <w:pStyle w:val="Texto"/>
              <w:spacing w:after="88"/>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E8043BE" w14:textId="77777777" w:rsidR="0098530D" w:rsidRPr="00AB7CA1" w:rsidRDefault="0098530D" w:rsidP="00552502">
            <w:pPr>
              <w:pStyle w:val="Texto"/>
              <w:spacing w:after="88"/>
              <w:ind w:firstLine="0"/>
              <w:jc w:val="center"/>
              <w:rPr>
                <w:b/>
              </w:rPr>
            </w:pPr>
            <w:r w:rsidRPr="00AB7CA1">
              <w:rPr>
                <w:b/>
              </w:rPr>
              <w:t>Primer antecedente</w:t>
            </w:r>
          </w:p>
        </w:tc>
      </w:tr>
      <w:tr w:rsidR="0098530D" w:rsidRPr="00AB7CA1" w14:paraId="20F3299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5DAD87C4" w14:textId="77777777" w:rsidR="0098530D" w:rsidRPr="00AB7CA1" w:rsidRDefault="0098530D" w:rsidP="00552502">
            <w:pPr>
              <w:pStyle w:val="Texto"/>
              <w:spacing w:after="88"/>
              <w:ind w:firstLine="0"/>
            </w:pPr>
            <w:r w:rsidRPr="00AB7CA1">
              <w:t>IV/95</w:t>
            </w:r>
          </w:p>
        </w:tc>
        <w:tc>
          <w:tcPr>
            <w:tcW w:w="3237" w:type="pct"/>
            <w:tcBorders>
              <w:top w:val="single" w:sz="6" w:space="0" w:color="auto"/>
              <w:left w:val="single" w:sz="6" w:space="0" w:color="auto"/>
              <w:bottom w:val="single" w:sz="6" w:space="0" w:color="auto"/>
              <w:right w:val="single" w:sz="6" w:space="0" w:color="auto"/>
            </w:tcBorders>
          </w:tcPr>
          <w:p w14:paraId="653E453D" w14:textId="77777777" w:rsidR="0098530D" w:rsidRPr="00AB7CA1" w:rsidRDefault="0098530D" w:rsidP="00552502">
            <w:pPr>
              <w:pStyle w:val="Texto"/>
              <w:spacing w:after="88"/>
              <w:ind w:firstLine="0"/>
            </w:pPr>
            <w:r w:rsidRPr="00AB7CA1">
              <w:t>Boletín de Normatividad 1</w:t>
            </w:r>
          </w:p>
        </w:tc>
      </w:tr>
    </w:tbl>
    <w:p w14:paraId="2B8FB6C3" w14:textId="77777777" w:rsidR="0098530D" w:rsidRPr="00AB7CA1" w:rsidRDefault="0098530D" w:rsidP="0098530D">
      <w:pPr>
        <w:pStyle w:val="Texto"/>
        <w:spacing w:after="88"/>
        <w:ind w:left="2736" w:hanging="1152"/>
        <w:rPr>
          <w:b/>
        </w:rPr>
      </w:pPr>
    </w:p>
    <w:p w14:paraId="43632B0F" w14:textId="77777777" w:rsidR="0098530D" w:rsidRPr="00AB7CA1" w:rsidRDefault="0098530D" w:rsidP="0098530D">
      <w:pPr>
        <w:pStyle w:val="Texto"/>
        <w:spacing w:after="88"/>
        <w:ind w:left="2736" w:hanging="1152"/>
        <w:rPr>
          <w:b/>
          <w:lang w:val="es-ES_tradnl"/>
        </w:rPr>
      </w:pPr>
      <w:r w:rsidRPr="00AB7CA1">
        <w:rPr>
          <w:b/>
        </w:rPr>
        <w:t>22/IVA/N</w:t>
      </w:r>
      <w:r w:rsidRPr="00AB7CA1">
        <w:rPr>
          <w:b/>
        </w:rPr>
        <w:tab/>
      </w:r>
      <w:r w:rsidRPr="00AB7CA1">
        <w:rPr>
          <w:b/>
          <w:lang w:val="es-ES_tradnl"/>
        </w:rPr>
        <w:t>Cálculo de la proporción de acreditamiento cuando se realicen actividades exentas a título gratuito.</w:t>
      </w:r>
    </w:p>
    <w:p w14:paraId="4E77BE95" w14:textId="77777777" w:rsidR="0098530D" w:rsidRPr="00AB7CA1" w:rsidRDefault="0098530D" w:rsidP="0098530D">
      <w:pPr>
        <w:pStyle w:val="Texto"/>
        <w:spacing w:after="88"/>
        <w:ind w:left="2736" w:hanging="1152"/>
        <w:rPr>
          <w:lang w:val="es-ES_tradnl"/>
        </w:rPr>
      </w:pPr>
      <w:r w:rsidRPr="00AB7CA1">
        <w:rPr>
          <w:b/>
          <w:lang w:val="es-ES_tradnl"/>
        </w:rPr>
        <w:tab/>
      </w:r>
      <w:r w:rsidRPr="00AB7CA1">
        <w:rPr>
          <w:lang w:val="es-ES_tradnl"/>
        </w:rPr>
        <w:t>Conforme a la Ley del IVA cuando el contribuyente utilice indistintamente bienes, servicios o el uso o goce temporal de bienes, para realizar las actividades gravadas a la tasa general o a la del 0% y, además para realizar otras actividades por las que obtenga ingresos, el acreditamiento procederá únicamente en la proporción en la que el valor de las actividades por las que deba pagarse el impuesto o a las que se aplique la tasa de 0%, represente en el valor total de las actividades mencionadas que el contribuyente realice en el mes de que se trate.</w:t>
      </w:r>
    </w:p>
    <w:p w14:paraId="62D735B1" w14:textId="77777777" w:rsidR="0098530D" w:rsidRPr="00AB7CA1" w:rsidRDefault="0098530D" w:rsidP="0098530D">
      <w:pPr>
        <w:pStyle w:val="Texto"/>
        <w:spacing w:after="88"/>
        <w:ind w:left="2736" w:hanging="1152"/>
        <w:rPr>
          <w:lang w:val="es-ES_tradnl"/>
        </w:rPr>
      </w:pPr>
      <w:r w:rsidRPr="00AB7CA1">
        <w:rPr>
          <w:lang w:val="es-ES_tradnl"/>
        </w:rPr>
        <w:tab/>
        <w:t>El artículo 15, fracción III, de la Ley del IVA establece, que no se pagará IVA por los servicios prestados en forma gratuita, excepto cuando los beneficiarios sean los miembros, socios o asociados de la persona moral.</w:t>
      </w:r>
    </w:p>
    <w:p w14:paraId="75339FCA" w14:textId="77777777" w:rsidR="0098530D" w:rsidRPr="00AB7CA1" w:rsidRDefault="0098530D" w:rsidP="0098530D">
      <w:pPr>
        <w:pStyle w:val="Texto"/>
        <w:ind w:left="2736" w:hanging="1152"/>
        <w:rPr>
          <w:lang w:val="es-ES_tradnl"/>
        </w:rPr>
      </w:pPr>
      <w:r w:rsidRPr="00AB7CA1">
        <w:rPr>
          <w:lang w:val="es-ES_tradnl"/>
        </w:rPr>
        <w:lastRenderedPageBreak/>
        <w:tab/>
        <w:t>El artículo 34 de la Ley de referencia, en su primer párrafo dispone que, cuando la contraprestación que cobre el contribuyente por la enajenación de bienes, la prestación de servicios o el otorgamiento del uso o goce temporal de bienes, no sea en efectivo ni en cheques, sino total o parcialmente en otros bienes o servicios, se considerará como valor de estos el de mercado o en su defecto el de avalúo. Los mismos valores se tomarán en cuenta tratándose de actividades por las que se deba pagar el impuesto establecido en la Ley, cuando no exista contraprestación.</w:t>
      </w:r>
    </w:p>
    <w:p w14:paraId="5885F614" w14:textId="77777777" w:rsidR="0098530D" w:rsidRPr="00AB7CA1" w:rsidRDefault="0098530D" w:rsidP="0098530D">
      <w:pPr>
        <w:pStyle w:val="Texto"/>
        <w:ind w:left="2736" w:hanging="1152"/>
        <w:rPr>
          <w:lang w:val="es-ES_tradnl"/>
        </w:rPr>
      </w:pPr>
      <w:r w:rsidRPr="00AB7CA1">
        <w:rPr>
          <w:lang w:val="es-ES_tradnl"/>
        </w:rPr>
        <w:tab/>
        <w:t>De la interpretación armónica a los preceptos antes señalados es de concluir que tratándose de las actividades por las que no se debe pagar el impuesto (exentas) que sean a título gratuito, para efecto solamente de calcular la proporción de acreditamiento, se considerará como valor de estas el de mercado o en su defecto el de avalúo.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3481347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63E341C" w14:textId="77777777" w:rsidR="0098530D" w:rsidRPr="00AB7CA1" w:rsidRDefault="0098530D" w:rsidP="00552502">
            <w:pPr>
              <w:pStyle w:val="Texto"/>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B61DDA7" w14:textId="77777777" w:rsidR="0098530D" w:rsidRPr="00AB7CA1" w:rsidRDefault="0098530D" w:rsidP="00552502">
            <w:pPr>
              <w:pStyle w:val="Texto"/>
              <w:ind w:firstLine="0"/>
              <w:jc w:val="center"/>
              <w:rPr>
                <w:b/>
              </w:rPr>
            </w:pPr>
            <w:r w:rsidRPr="00AB7CA1">
              <w:rPr>
                <w:b/>
              </w:rPr>
              <w:t>Primer antecedente</w:t>
            </w:r>
          </w:p>
        </w:tc>
      </w:tr>
      <w:tr w:rsidR="0098530D" w:rsidRPr="00AB7CA1" w14:paraId="74CC58B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5BC5DF04" w14:textId="77777777" w:rsidR="0098530D" w:rsidRPr="00AB7CA1" w:rsidRDefault="0098530D" w:rsidP="00552502">
            <w:pPr>
              <w:pStyle w:val="Texto"/>
              <w:ind w:firstLine="0"/>
            </w:pPr>
            <w:r w:rsidRPr="00AB7CA1">
              <w:t>2013</w:t>
            </w:r>
          </w:p>
        </w:tc>
        <w:tc>
          <w:tcPr>
            <w:tcW w:w="3237" w:type="pct"/>
            <w:tcBorders>
              <w:top w:val="single" w:sz="6" w:space="0" w:color="auto"/>
              <w:left w:val="single" w:sz="6" w:space="0" w:color="auto"/>
              <w:bottom w:val="single" w:sz="6" w:space="0" w:color="auto"/>
              <w:right w:val="single" w:sz="6" w:space="0" w:color="auto"/>
            </w:tcBorders>
          </w:tcPr>
          <w:p w14:paraId="510981FB" w14:textId="77777777" w:rsidR="0098530D" w:rsidRPr="00AB7CA1" w:rsidRDefault="0098530D" w:rsidP="00552502">
            <w:pPr>
              <w:pStyle w:val="Texto"/>
              <w:ind w:firstLine="0"/>
            </w:pPr>
            <w:r w:rsidRPr="00AB7CA1">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131/2013/IVA.</w:t>
            </w:r>
          </w:p>
        </w:tc>
      </w:tr>
    </w:tbl>
    <w:p w14:paraId="5E7553B4" w14:textId="77777777" w:rsidR="0098530D" w:rsidRPr="00AB7CA1" w:rsidRDefault="0098530D" w:rsidP="0098530D">
      <w:pPr>
        <w:pStyle w:val="Texto"/>
        <w:ind w:left="2736" w:hanging="1152"/>
        <w:rPr>
          <w:b/>
        </w:rPr>
      </w:pPr>
    </w:p>
    <w:p w14:paraId="561902C5" w14:textId="77777777" w:rsidR="0098530D" w:rsidRPr="00AB7CA1" w:rsidRDefault="0098530D" w:rsidP="0098530D">
      <w:pPr>
        <w:pStyle w:val="Texto"/>
        <w:ind w:left="2736" w:hanging="1152"/>
        <w:rPr>
          <w:b/>
        </w:rPr>
      </w:pPr>
      <w:r w:rsidRPr="00AB7CA1">
        <w:rPr>
          <w:b/>
        </w:rPr>
        <w:t>23/IVA/N</w:t>
      </w:r>
      <w:r w:rsidRPr="00AB7CA1">
        <w:rPr>
          <w:b/>
        </w:rPr>
        <w:tab/>
        <w:t>Saldos a favor del IVA. El remanente de un saldo a favor, si este último previamente se acreditó contra un pago posterior a la declaración en la que se determinó, debe seguirse acreditando hasta agotarlo.</w:t>
      </w:r>
    </w:p>
    <w:p w14:paraId="188C2C5D" w14:textId="77777777" w:rsidR="0098530D" w:rsidRPr="00AB7CA1" w:rsidRDefault="0098530D" w:rsidP="0098530D">
      <w:pPr>
        <w:pStyle w:val="Texto"/>
        <w:ind w:left="2736" w:hanging="1152"/>
      </w:pPr>
      <w:r w:rsidRPr="00AB7CA1">
        <w:rPr>
          <w:b/>
        </w:rPr>
        <w:tab/>
      </w:r>
      <w:r w:rsidRPr="00AB7CA1">
        <w:t>El artículo 6o., primer párrafo de la Ley del IVA, establece que cuando en la declaración de pago resulte saldo a favor, el contribuyente únicamente podrá acreditarlo contra el impuesto a su cargo que le corresponda en los meses siguientes hasta agotarlo o solicitar su devolución.</w:t>
      </w:r>
    </w:p>
    <w:p w14:paraId="548EBBBC" w14:textId="77777777" w:rsidR="0098530D" w:rsidRPr="00AB7CA1" w:rsidRDefault="0098530D" w:rsidP="0098530D">
      <w:pPr>
        <w:pStyle w:val="Texto"/>
        <w:ind w:left="2736" w:hanging="1152"/>
      </w:pPr>
      <w:r w:rsidRPr="00AB7CA1">
        <w:tab/>
        <w:t>En ese sentido, no es factible la acumulación de remanentes de saldos a favor pendientes de acreditar, toda vez que el esquema es de pagos mensuales y definitivos conforme lo previsto en el artículo 5o.-D de la Ley del IVA, por lo que se considera que en los casos en que los contribuyentes después de haber determinado un saldo a favor, acrediten el mismo en una declaración posterior, resultándoles un remanente, deberán seguir acreditándolo hasta agotarlo, sin que en dicho caso sea procedente su devolución.</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36E2BCF7"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02C4EDDF" w14:textId="77777777" w:rsidR="0098530D" w:rsidRPr="00AB7CA1" w:rsidRDefault="0098530D" w:rsidP="00552502">
            <w:pPr>
              <w:pStyle w:val="Texto"/>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7E63DEE" w14:textId="77777777" w:rsidR="0098530D" w:rsidRPr="00AB7CA1" w:rsidRDefault="0098530D" w:rsidP="00552502">
            <w:pPr>
              <w:pStyle w:val="Texto"/>
              <w:ind w:firstLine="0"/>
              <w:jc w:val="center"/>
              <w:rPr>
                <w:b/>
              </w:rPr>
            </w:pPr>
            <w:r w:rsidRPr="00AB7CA1">
              <w:rPr>
                <w:b/>
              </w:rPr>
              <w:t>Primer antecedente</w:t>
            </w:r>
          </w:p>
        </w:tc>
      </w:tr>
      <w:tr w:rsidR="0098530D" w:rsidRPr="00AB7CA1" w14:paraId="62343CE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378109F" w14:textId="77777777" w:rsidR="0098530D" w:rsidRPr="00AB7CA1" w:rsidRDefault="0098530D" w:rsidP="00552502">
            <w:pPr>
              <w:pStyle w:val="Texto"/>
              <w:ind w:firstLine="0"/>
            </w:pPr>
            <w:r w:rsidRPr="00AB7CA1">
              <w:t>52/2003/IVA</w:t>
            </w:r>
          </w:p>
        </w:tc>
        <w:tc>
          <w:tcPr>
            <w:tcW w:w="3237" w:type="pct"/>
            <w:tcBorders>
              <w:top w:val="single" w:sz="6" w:space="0" w:color="auto"/>
              <w:left w:val="single" w:sz="6" w:space="0" w:color="auto"/>
              <w:bottom w:val="single" w:sz="6" w:space="0" w:color="auto"/>
              <w:right w:val="single" w:sz="6" w:space="0" w:color="auto"/>
            </w:tcBorders>
          </w:tcPr>
          <w:p w14:paraId="202262C7" w14:textId="77777777" w:rsidR="0098530D" w:rsidRPr="00AB7CA1" w:rsidRDefault="0098530D" w:rsidP="00552502">
            <w:pPr>
              <w:pStyle w:val="Texto"/>
              <w:ind w:firstLine="0"/>
            </w:pPr>
            <w:r w:rsidRPr="00AB7CA1">
              <w:t>Oficio 325-SAT-IV-F-84632 de 28 de noviembre de 2003, mediante el cual se emite la Compilación de Criterios Normativos. Se dan a conocer criterios.</w:t>
            </w:r>
          </w:p>
        </w:tc>
      </w:tr>
    </w:tbl>
    <w:p w14:paraId="0911C7EF" w14:textId="77777777" w:rsidR="0098530D" w:rsidRPr="00AB7CA1" w:rsidRDefault="0098530D" w:rsidP="0098530D">
      <w:pPr>
        <w:pStyle w:val="Texto"/>
        <w:ind w:left="2736" w:hanging="1152"/>
      </w:pPr>
    </w:p>
    <w:p w14:paraId="0A2FD705" w14:textId="77777777" w:rsidR="0098530D" w:rsidRPr="00AB7CA1" w:rsidRDefault="0098530D" w:rsidP="0098530D">
      <w:pPr>
        <w:pStyle w:val="Texto"/>
        <w:ind w:left="2736" w:hanging="1152"/>
        <w:rPr>
          <w:b/>
          <w:lang w:val="es-ES_tradnl"/>
        </w:rPr>
      </w:pPr>
      <w:r w:rsidRPr="00AB7CA1">
        <w:rPr>
          <w:b/>
        </w:rPr>
        <w:t>24/IVA/N</w:t>
      </w:r>
      <w:r w:rsidRPr="00AB7CA1">
        <w:rPr>
          <w:b/>
        </w:rPr>
        <w:tab/>
      </w:r>
      <w:r w:rsidRPr="00AB7CA1">
        <w:rPr>
          <w:b/>
          <w:lang w:val="es-ES_tradnl"/>
        </w:rPr>
        <w:t>Reembolsos o reintegros en especie. Constituyen enajenación.</w:t>
      </w:r>
    </w:p>
    <w:p w14:paraId="6858A152" w14:textId="77777777" w:rsidR="0098530D" w:rsidRPr="00AB7CA1" w:rsidRDefault="0098530D" w:rsidP="0098530D">
      <w:pPr>
        <w:pStyle w:val="Texto"/>
        <w:ind w:left="2736" w:hanging="1152"/>
        <w:rPr>
          <w:lang w:val="es-ES_tradnl"/>
        </w:rPr>
      </w:pPr>
      <w:r w:rsidRPr="00AB7CA1">
        <w:rPr>
          <w:b/>
          <w:lang w:val="es-ES_tradnl"/>
        </w:rPr>
        <w:tab/>
      </w:r>
      <w:r w:rsidRPr="00AB7CA1">
        <w:rPr>
          <w:lang w:val="es-ES_tradnl"/>
        </w:rPr>
        <w:t>El artículo 8o. de la Ley del IVA dispone que se considera que hay enajenación para los efectos de dicha ley, lo que señala el CFF.</w:t>
      </w:r>
    </w:p>
    <w:p w14:paraId="2B31C412" w14:textId="77777777" w:rsidR="0098530D" w:rsidRPr="00AB7CA1" w:rsidRDefault="0098530D" w:rsidP="0098530D">
      <w:pPr>
        <w:pStyle w:val="Texto"/>
        <w:ind w:left="2736" w:hanging="1152"/>
        <w:rPr>
          <w:lang w:val="es-ES_tradnl"/>
        </w:rPr>
      </w:pPr>
      <w:r w:rsidRPr="00AB7CA1">
        <w:rPr>
          <w:lang w:val="es-ES_tradnl"/>
        </w:rPr>
        <w:tab/>
        <w:t>El artículo 14, fracción I del Código en cita establece que se entenderá como enajenación toda transmisión de propiedad, aún en la que el enajenante se reserve el dominio del bien enajenado.</w:t>
      </w:r>
    </w:p>
    <w:p w14:paraId="2F3BB4FE" w14:textId="77777777" w:rsidR="0098530D" w:rsidRPr="00AB7CA1" w:rsidRDefault="0098530D" w:rsidP="0098530D">
      <w:pPr>
        <w:pStyle w:val="Texto"/>
        <w:ind w:left="2736" w:hanging="1152"/>
        <w:rPr>
          <w:lang w:val="es-ES_tradnl"/>
        </w:rPr>
      </w:pPr>
      <w:r w:rsidRPr="00AB7CA1">
        <w:rPr>
          <w:lang w:val="es-ES_tradnl"/>
        </w:rPr>
        <w:tab/>
      </w:r>
      <w:r w:rsidRPr="00AB7CA1">
        <w:t xml:space="preserve">Por lo tanto, están obligadas al traslado y pago del IVA a la tasa del 16%, las empresas concesionarias de bienes o servicios que, al decretarse su disolución y liquidación, reintegren bienes al Gobierno Federal como reembolso del haber social previamente aportado a las mismas, ya que </w:t>
      </w:r>
      <w:r w:rsidRPr="00AB7CA1">
        <w:lastRenderedPageBreak/>
        <w:t>conforme a lo previsto por el artículo 14, fracción I del CFF, dichas operaciones constituyen una enajenación</w:t>
      </w:r>
      <w:r w:rsidRPr="00AB7CA1">
        <w:rPr>
          <w:lang w:val="es-ES_tradnl"/>
        </w:rPr>
        <w:t>.</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74726A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09B2E92" w14:textId="77777777" w:rsidR="0098530D" w:rsidRPr="00AB7CA1" w:rsidRDefault="0098530D" w:rsidP="00552502">
            <w:pPr>
              <w:pStyle w:val="Texto"/>
              <w:spacing w:after="80" w:line="214"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7C5656A6" w14:textId="77777777" w:rsidR="0098530D" w:rsidRPr="00AB7CA1" w:rsidRDefault="0098530D" w:rsidP="00552502">
            <w:pPr>
              <w:pStyle w:val="Texto"/>
              <w:spacing w:after="80" w:line="214" w:lineRule="exact"/>
              <w:ind w:firstLine="0"/>
              <w:jc w:val="center"/>
              <w:rPr>
                <w:b/>
              </w:rPr>
            </w:pPr>
            <w:r w:rsidRPr="00AB7CA1">
              <w:rPr>
                <w:b/>
              </w:rPr>
              <w:t>Primer antecedente</w:t>
            </w:r>
          </w:p>
        </w:tc>
      </w:tr>
      <w:tr w:rsidR="0098530D" w:rsidRPr="00AB7CA1" w14:paraId="7F0A8A3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FA384CE" w14:textId="77777777" w:rsidR="0098530D" w:rsidRPr="00AB7CA1" w:rsidRDefault="0098530D" w:rsidP="00552502">
            <w:pPr>
              <w:pStyle w:val="Texto"/>
              <w:spacing w:after="80" w:line="214" w:lineRule="exact"/>
              <w:ind w:firstLine="0"/>
            </w:pPr>
            <w:r w:rsidRPr="00AB7CA1">
              <w:t>5.2.7.</w:t>
            </w:r>
          </w:p>
        </w:tc>
        <w:tc>
          <w:tcPr>
            <w:tcW w:w="3237" w:type="pct"/>
            <w:tcBorders>
              <w:top w:val="single" w:sz="6" w:space="0" w:color="auto"/>
              <w:left w:val="single" w:sz="6" w:space="0" w:color="auto"/>
              <w:bottom w:val="single" w:sz="6" w:space="0" w:color="auto"/>
              <w:right w:val="single" w:sz="6" w:space="0" w:color="auto"/>
            </w:tcBorders>
          </w:tcPr>
          <w:p w14:paraId="5F2A9106" w14:textId="77777777" w:rsidR="0098530D" w:rsidRPr="00AB7CA1" w:rsidRDefault="0098530D" w:rsidP="00552502">
            <w:pPr>
              <w:pStyle w:val="Texto"/>
              <w:spacing w:after="80" w:line="214" w:lineRule="exact"/>
              <w:ind w:firstLine="0"/>
            </w:pPr>
            <w:r w:rsidRPr="00AB7CA1">
              <w:t>Oficio 102-SAT-13 de 4 de julio de 1997, a través del cual se emite la Compilación de Normatividad Sustantiva de Impuestos Internos.</w:t>
            </w:r>
          </w:p>
        </w:tc>
      </w:tr>
    </w:tbl>
    <w:p w14:paraId="5266380D" w14:textId="77777777" w:rsidR="0098530D" w:rsidRPr="00AB7CA1" w:rsidRDefault="0098530D" w:rsidP="0098530D">
      <w:pPr>
        <w:pStyle w:val="Texto"/>
        <w:spacing w:after="80" w:line="214" w:lineRule="exact"/>
        <w:rPr>
          <w:b/>
        </w:rPr>
      </w:pPr>
    </w:p>
    <w:p w14:paraId="36812829" w14:textId="77777777" w:rsidR="0098530D" w:rsidRPr="00AB7CA1" w:rsidRDefault="0098530D" w:rsidP="0098530D">
      <w:pPr>
        <w:pStyle w:val="Texto"/>
        <w:spacing w:after="80" w:line="214" w:lineRule="exact"/>
        <w:ind w:left="2736" w:hanging="1152"/>
        <w:rPr>
          <w:b/>
          <w:lang w:val="es-ES_tradnl"/>
        </w:rPr>
      </w:pPr>
      <w:r w:rsidRPr="00AB7CA1">
        <w:rPr>
          <w:b/>
        </w:rPr>
        <w:t>25/IVA/N</w:t>
      </w:r>
      <w:r w:rsidRPr="00AB7CA1">
        <w:rPr>
          <w:b/>
        </w:rPr>
        <w:tab/>
      </w:r>
      <w:r w:rsidRPr="00AB7CA1">
        <w:rPr>
          <w:b/>
          <w:lang w:val="es-ES_tradnl"/>
        </w:rPr>
        <w:t>Enajenación de piedra, arena y tierra. No son bienes inmuebles.</w:t>
      </w:r>
    </w:p>
    <w:p w14:paraId="13EE73C8" w14:textId="77777777" w:rsidR="0098530D" w:rsidRPr="00AB7CA1" w:rsidRDefault="0098530D" w:rsidP="0098530D">
      <w:pPr>
        <w:pStyle w:val="Texto"/>
        <w:spacing w:after="80" w:line="214" w:lineRule="exact"/>
        <w:ind w:left="2736" w:hanging="1152"/>
        <w:rPr>
          <w:lang w:val="es-ES_tradnl"/>
        </w:rPr>
      </w:pPr>
      <w:r w:rsidRPr="00AB7CA1">
        <w:rPr>
          <w:b/>
          <w:lang w:val="es-ES_tradnl"/>
        </w:rPr>
        <w:tab/>
      </w:r>
      <w:r w:rsidRPr="00AB7CA1">
        <w:rPr>
          <w:lang w:val="es-ES_tradnl"/>
        </w:rPr>
        <w:t>El artículo 9o., fracción I de la Ley del IVA señala que no se pagará el citado impuesto tratándose de la enajenación de suelo.</w:t>
      </w:r>
    </w:p>
    <w:p w14:paraId="3DDC6CB0" w14:textId="77777777" w:rsidR="0098530D" w:rsidRPr="00AB7CA1" w:rsidRDefault="0098530D" w:rsidP="0098530D">
      <w:pPr>
        <w:pStyle w:val="Texto"/>
        <w:spacing w:after="80" w:line="214" w:lineRule="exact"/>
        <w:ind w:left="2736" w:hanging="1152"/>
        <w:rPr>
          <w:lang w:val="es-ES_tradnl"/>
        </w:rPr>
      </w:pPr>
      <w:r w:rsidRPr="00AB7CA1">
        <w:rPr>
          <w:lang w:val="es-ES_tradnl"/>
        </w:rPr>
        <w:tab/>
      </w:r>
      <w:r w:rsidRPr="00AB7CA1">
        <w:t xml:space="preserve">Aplicando </w:t>
      </w:r>
      <w:r w:rsidRPr="00AB7CA1">
        <w:rPr>
          <w:lang w:val="es-ES_tradnl"/>
        </w:rPr>
        <w:t>supletoriamente la legislación del derecho federal común, por suelo debe entenderse el bien inmueble señalado en el artículo 750, fracción I del Código Civil Federal.</w:t>
      </w:r>
    </w:p>
    <w:p w14:paraId="4C427C25" w14:textId="77777777" w:rsidR="0098530D" w:rsidRPr="00AB7CA1" w:rsidRDefault="0098530D" w:rsidP="0098530D">
      <w:pPr>
        <w:pStyle w:val="Texto"/>
        <w:spacing w:after="80" w:line="214" w:lineRule="exact"/>
        <w:ind w:left="2736" w:hanging="1152"/>
        <w:rPr>
          <w:lang w:val="es-ES_tradnl"/>
        </w:rPr>
      </w:pPr>
      <w:r w:rsidRPr="00AB7CA1">
        <w:rPr>
          <w:lang w:val="es-ES_tradnl"/>
        </w:rPr>
        <w:tab/>
        <w:t>Por ello, a la enajenación de piedra, arena o tierra, no le es aplicable el desgravamiento previsto en dicho artículo 9o., fracción I de la Ley del IVA, ya que no son bienes inmuebles.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3ED8A1B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DA179F9" w14:textId="77777777" w:rsidR="0098530D" w:rsidRPr="00AB7CA1" w:rsidRDefault="0098530D" w:rsidP="00552502">
            <w:pPr>
              <w:pStyle w:val="Texto"/>
              <w:spacing w:after="80" w:line="214"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6D119D4" w14:textId="77777777" w:rsidR="0098530D" w:rsidRPr="00AB7CA1" w:rsidRDefault="0098530D" w:rsidP="00552502">
            <w:pPr>
              <w:pStyle w:val="Texto"/>
              <w:spacing w:after="80" w:line="214" w:lineRule="exact"/>
              <w:ind w:firstLine="0"/>
              <w:jc w:val="center"/>
              <w:rPr>
                <w:b/>
              </w:rPr>
            </w:pPr>
            <w:r w:rsidRPr="00AB7CA1">
              <w:rPr>
                <w:b/>
              </w:rPr>
              <w:t>Primer antecedente</w:t>
            </w:r>
          </w:p>
        </w:tc>
      </w:tr>
      <w:tr w:rsidR="0098530D" w:rsidRPr="00AB7CA1" w14:paraId="404905C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7C10988" w14:textId="77777777" w:rsidR="0098530D" w:rsidRPr="00AB7CA1" w:rsidRDefault="0098530D" w:rsidP="00552502">
            <w:pPr>
              <w:pStyle w:val="Texto"/>
              <w:spacing w:after="80" w:line="214" w:lineRule="exact"/>
              <w:ind w:firstLine="0"/>
            </w:pPr>
            <w:r w:rsidRPr="00AB7CA1">
              <w:t>5.2.10.</w:t>
            </w:r>
          </w:p>
        </w:tc>
        <w:tc>
          <w:tcPr>
            <w:tcW w:w="3237" w:type="pct"/>
            <w:tcBorders>
              <w:top w:val="single" w:sz="6" w:space="0" w:color="auto"/>
              <w:left w:val="single" w:sz="6" w:space="0" w:color="auto"/>
              <w:bottom w:val="single" w:sz="6" w:space="0" w:color="auto"/>
              <w:right w:val="single" w:sz="6" w:space="0" w:color="auto"/>
            </w:tcBorders>
          </w:tcPr>
          <w:p w14:paraId="63975948" w14:textId="77777777" w:rsidR="0098530D" w:rsidRPr="00AB7CA1" w:rsidRDefault="0098530D" w:rsidP="00552502">
            <w:pPr>
              <w:pStyle w:val="Texto"/>
              <w:spacing w:after="80" w:line="214" w:lineRule="exact"/>
              <w:ind w:firstLine="0"/>
            </w:pPr>
            <w:r w:rsidRPr="00AB7CA1">
              <w:t>Oficio 325-SAT-IV-C-5320 de 22 de mayo de 1998. Segunda Actualización de la Compilación de Normatividad Sustantiva de Impuestos Internos.</w:t>
            </w:r>
          </w:p>
        </w:tc>
      </w:tr>
    </w:tbl>
    <w:p w14:paraId="4C70AA32" w14:textId="77777777" w:rsidR="0098530D" w:rsidRPr="00AB7CA1" w:rsidRDefault="0098530D" w:rsidP="0098530D">
      <w:pPr>
        <w:pStyle w:val="Texto"/>
        <w:spacing w:after="80" w:line="214" w:lineRule="exact"/>
        <w:ind w:left="2736" w:hanging="1152"/>
        <w:rPr>
          <w:b/>
        </w:rPr>
      </w:pPr>
    </w:p>
    <w:p w14:paraId="193E0B65" w14:textId="77777777" w:rsidR="0098530D" w:rsidRPr="00AB7CA1" w:rsidRDefault="0098530D" w:rsidP="0098530D">
      <w:pPr>
        <w:pStyle w:val="Texto"/>
        <w:spacing w:after="80" w:line="214" w:lineRule="exact"/>
        <w:ind w:left="2736" w:hanging="1152"/>
        <w:rPr>
          <w:b/>
          <w:lang w:val="es-ES_tradnl"/>
        </w:rPr>
      </w:pPr>
      <w:r w:rsidRPr="00AB7CA1">
        <w:rPr>
          <w:b/>
        </w:rPr>
        <w:t>26/IVA/N</w:t>
      </w:r>
      <w:r w:rsidRPr="00AB7CA1">
        <w:rPr>
          <w:b/>
        </w:rPr>
        <w:tab/>
      </w:r>
      <w:r w:rsidRPr="00AB7CA1">
        <w:rPr>
          <w:b/>
          <w:lang w:val="es-ES_tradnl"/>
        </w:rPr>
        <w:t>Enajenación de casa habitación. La disposición que establece que no se pagará el IVA no abarca a servicios parciales en su construcción.</w:t>
      </w:r>
    </w:p>
    <w:p w14:paraId="7C47E340" w14:textId="77777777" w:rsidR="0098530D" w:rsidRPr="00AB7CA1" w:rsidRDefault="0098530D" w:rsidP="0098530D">
      <w:pPr>
        <w:pStyle w:val="Texto"/>
        <w:spacing w:after="80" w:line="214" w:lineRule="exact"/>
        <w:ind w:left="2736" w:hanging="1152"/>
        <w:rPr>
          <w:lang w:val="es-ES_tradnl"/>
        </w:rPr>
      </w:pPr>
      <w:r w:rsidRPr="00AB7CA1">
        <w:rPr>
          <w:b/>
          <w:lang w:val="es-ES_tradnl"/>
        </w:rPr>
        <w:tab/>
      </w:r>
      <w:r w:rsidRPr="00AB7CA1">
        <w:rPr>
          <w:lang w:val="es-ES_tradnl"/>
        </w:rPr>
        <w:t>El artículo 9o., fracción II de la Ley del IVA establece que no se pagará dicho impuesto en la enajenación de construcciones adheridas al suelo destinadas o utilizadas para casa habitación.</w:t>
      </w:r>
    </w:p>
    <w:p w14:paraId="6CE60BFA" w14:textId="77777777" w:rsidR="0098530D" w:rsidRPr="00AB7CA1" w:rsidRDefault="0098530D" w:rsidP="0098530D">
      <w:pPr>
        <w:pStyle w:val="Texto"/>
        <w:spacing w:after="80" w:line="214" w:lineRule="exact"/>
        <w:ind w:left="2736" w:hanging="1152"/>
        <w:rPr>
          <w:lang w:val="es-ES_tradnl"/>
        </w:rPr>
      </w:pPr>
      <w:r w:rsidRPr="00AB7CA1">
        <w:rPr>
          <w:lang w:val="es-ES_tradnl"/>
        </w:rPr>
        <w:tab/>
        <w:t>Asimismo, el artículo 29 del Reglamento de dicha ley señala que quedan comprendidos dentro de la exención la prestación de servicios de construcción de inmuebles destinados a casa habitación, la ampliación de estas y la instalación de casas prefabricadas que sean utilizadas para ese fin, siempre que el prestador del servicio proporcione la mano de obra y los materiales.</w:t>
      </w:r>
    </w:p>
    <w:p w14:paraId="50666E3B" w14:textId="77777777" w:rsidR="0098530D" w:rsidRPr="00AB7CA1" w:rsidRDefault="0098530D" w:rsidP="0098530D">
      <w:pPr>
        <w:pStyle w:val="Texto"/>
        <w:spacing w:after="80" w:line="215" w:lineRule="exact"/>
        <w:ind w:left="2736" w:hanging="1152"/>
        <w:rPr>
          <w:lang w:val="es-ES_tradnl"/>
        </w:rPr>
      </w:pPr>
      <w:r w:rsidRPr="00AB7CA1">
        <w:rPr>
          <w:lang w:val="es-ES_tradnl"/>
        </w:rPr>
        <w:tab/>
        <w:t>Por lo anterior, los trabajos de instalaciones hidráulicas, sanitarias, eléctricas, de cancelería de fierro o aluminio y, en general, cualquier labor que los constructores de inmuebles contraten con terceros para realizarlos o incorporarlos a inmuebles y construcciones nuevas destinadas a casa habitación, no se encuentran incluidos en la exención prevista en el artículo 9o., fracción II de la mencionada ley y 29 de su reglamento, ya que dichos servicios por sí mismos no constituyen la ejecución misma de una construcción adherida al suelo, ni implican la edificación de dicho inmueble.</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A9A0E86"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049FA361" w14:textId="77777777" w:rsidR="0098530D" w:rsidRPr="00AB7CA1" w:rsidRDefault="0098530D" w:rsidP="00552502">
            <w:pPr>
              <w:pStyle w:val="Texto"/>
              <w:spacing w:after="80" w:line="215"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7B4B80D3" w14:textId="77777777" w:rsidR="0098530D" w:rsidRPr="00AB7CA1" w:rsidRDefault="0098530D" w:rsidP="00552502">
            <w:pPr>
              <w:pStyle w:val="Texto"/>
              <w:spacing w:after="80" w:line="215" w:lineRule="exact"/>
              <w:ind w:firstLine="0"/>
              <w:jc w:val="center"/>
              <w:rPr>
                <w:b/>
              </w:rPr>
            </w:pPr>
            <w:r w:rsidRPr="00AB7CA1">
              <w:rPr>
                <w:b/>
              </w:rPr>
              <w:t>Primer antecedente</w:t>
            </w:r>
          </w:p>
        </w:tc>
      </w:tr>
      <w:tr w:rsidR="0098530D" w:rsidRPr="00AB7CA1" w14:paraId="15160B9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232BE580" w14:textId="77777777" w:rsidR="0098530D" w:rsidRPr="00AB7CA1" w:rsidRDefault="0098530D" w:rsidP="00552502">
            <w:pPr>
              <w:pStyle w:val="Texto"/>
              <w:spacing w:after="80" w:line="215" w:lineRule="exact"/>
              <w:ind w:firstLine="0"/>
            </w:pPr>
            <w:r w:rsidRPr="00AB7CA1">
              <w:t>26/2001/IVA</w:t>
            </w:r>
          </w:p>
        </w:tc>
        <w:tc>
          <w:tcPr>
            <w:tcW w:w="3237" w:type="pct"/>
            <w:tcBorders>
              <w:top w:val="single" w:sz="6" w:space="0" w:color="auto"/>
              <w:left w:val="single" w:sz="6" w:space="0" w:color="auto"/>
              <w:bottom w:val="single" w:sz="6" w:space="0" w:color="auto"/>
              <w:right w:val="single" w:sz="6" w:space="0" w:color="auto"/>
            </w:tcBorders>
          </w:tcPr>
          <w:p w14:paraId="66102987" w14:textId="77777777" w:rsidR="0098530D" w:rsidRPr="00AB7CA1" w:rsidRDefault="0098530D" w:rsidP="00552502">
            <w:pPr>
              <w:pStyle w:val="Texto"/>
              <w:spacing w:after="80" w:line="215" w:lineRule="exact"/>
              <w:ind w:firstLine="0"/>
            </w:pPr>
            <w:r w:rsidRPr="00AB7CA1">
              <w:t>Oficio 325-SAT-A-31123 de 14 septiembre de 2001, mediante el cual se da a conocer la nueva Compilación de Criterios Normativos 2001.</w:t>
            </w:r>
          </w:p>
        </w:tc>
      </w:tr>
    </w:tbl>
    <w:p w14:paraId="09C68642" w14:textId="77777777" w:rsidR="0098530D" w:rsidRPr="00AB7CA1" w:rsidRDefault="0098530D" w:rsidP="0098530D">
      <w:pPr>
        <w:pStyle w:val="Texto"/>
        <w:spacing w:after="80" w:line="215" w:lineRule="exact"/>
        <w:ind w:left="2736" w:hanging="1152"/>
        <w:rPr>
          <w:b/>
        </w:rPr>
      </w:pPr>
    </w:p>
    <w:p w14:paraId="20193785" w14:textId="77777777" w:rsidR="0098530D" w:rsidRPr="00AB7CA1" w:rsidRDefault="0098530D" w:rsidP="0098530D">
      <w:pPr>
        <w:pStyle w:val="Texto"/>
        <w:spacing w:after="80" w:line="215" w:lineRule="exact"/>
        <w:ind w:left="2736" w:hanging="1152"/>
        <w:rPr>
          <w:b/>
          <w:lang w:val="es-ES_tradnl"/>
        </w:rPr>
      </w:pPr>
      <w:r w:rsidRPr="00AB7CA1">
        <w:rPr>
          <w:b/>
        </w:rPr>
        <w:t>27/IVA/N</w:t>
      </w:r>
      <w:r w:rsidRPr="00AB7CA1">
        <w:rPr>
          <w:b/>
        </w:rPr>
        <w:tab/>
      </w:r>
      <w:r w:rsidRPr="00AB7CA1">
        <w:rPr>
          <w:b/>
          <w:lang w:val="es-ES_tradnl"/>
        </w:rPr>
        <w:t>Exención. Comisiones por el otorgamiento de créditos hipotecarios para vivienda.</w:t>
      </w:r>
    </w:p>
    <w:p w14:paraId="02739CDF" w14:textId="77777777" w:rsidR="0098530D" w:rsidRPr="00AB7CA1" w:rsidRDefault="0098530D" w:rsidP="0098530D">
      <w:pPr>
        <w:pStyle w:val="Texto"/>
        <w:spacing w:after="80" w:line="215" w:lineRule="exact"/>
        <w:ind w:left="2736" w:hanging="1152"/>
        <w:rPr>
          <w:lang w:val="es-ES_tradnl"/>
        </w:rPr>
      </w:pPr>
      <w:r w:rsidRPr="00AB7CA1">
        <w:rPr>
          <w:b/>
          <w:lang w:val="es-ES_tradnl"/>
        </w:rPr>
        <w:tab/>
      </w:r>
      <w:r w:rsidRPr="00AB7CA1">
        <w:rPr>
          <w:lang w:val="es-ES_tradnl"/>
        </w:rPr>
        <w:t xml:space="preserve">El artículo 15, fracción I de la Ley del IVA, establece que no se pagará dicho impuesto por las comisiones y otras contraprestaciones que cubra el </w:t>
      </w:r>
      <w:r w:rsidRPr="00AB7CA1">
        <w:rPr>
          <w:lang w:val="es-ES_tradnl"/>
        </w:rPr>
        <w:lastRenderedPageBreak/>
        <w:t>acreditado a su acreedor con motivo del otorgamiento de créditos hipotecarios para la adquisición, ampliación, construcción o reparación de bienes inmuebles destinados a casa habitación, salvo aquéllas que se originen con posterioridad a la autorización del citado crédito o que</w:t>
      </w:r>
      <w:r>
        <w:rPr>
          <w:lang w:val="es-ES_tradnl"/>
        </w:rPr>
        <w:t xml:space="preserve"> </w:t>
      </w:r>
      <w:r w:rsidRPr="00AB7CA1">
        <w:rPr>
          <w:lang w:val="es-ES_tradnl"/>
        </w:rPr>
        <w:t>se deban pagar a terceros por el acreditado.</w:t>
      </w:r>
    </w:p>
    <w:p w14:paraId="2855C94A" w14:textId="77777777" w:rsidR="0098530D" w:rsidRPr="00AB7CA1" w:rsidRDefault="0098530D" w:rsidP="0098530D">
      <w:pPr>
        <w:pStyle w:val="Texto"/>
        <w:spacing w:line="224" w:lineRule="exact"/>
        <w:ind w:left="2736" w:hanging="1152"/>
        <w:rPr>
          <w:lang w:val="es-ES_tradnl"/>
        </w:rPr>
      </w:pPr>
      <w:r w:rsidRPr="00AB7CA1">
        <w:rPr>
          <w:lang w:val="es-ES_tradnl"/>
        </w:rPr>
        <w:tab/>
        <w:t>De acuerdo con la disposición citada, no quedan comprendidas en la exención referida las comisiones y otras contraprestaciones que cubra el acreditado a su acreedor con algún motivo distinto del otorgamiento de los créditos mencionados ni aquéllas que pague con motivo del otorgamiento de dichos créditos, pero que se originen con posterioridad a la autorización de los mismos créditos.</w:t>
      </w:r>
    </w:p>
    <w:p w14:paraId="7E17F126" w14:textId="77777777" w:rsidR="0098530D" w:rsidRPr="00AB7CA1" w:rsidRDefault="0098530D" w:rsidP="0098530D">
      <w:pPr>
        <w:pStyle w:val="Texto"/>
        <w:spacing w:line="224" w:lineRule="exact"/>
        <w:ind w:left="2736" w:hanging="1152"/>
        <w:rPr>
          <w:lang w:val="es-ES_tradnl"/>
        </w:rPr>
      </w:pPr>
      <w:r w:rsidRPr="00AB7CA1">
        <w:rPr>
          <w:lang w:val="es-ES_tradnl"/>
        </w:rPr>
        <w:tab/>
        <w:t>A contrario sensu, las comisiones y contraprestaciones que cubra el acreditado a su acreedor por causa del otorgamiento de los créditos mencionados y que se originen hasta el momento de su autorización, quedan comprendidas en la exención.</w:t>
      </w:r>
    </w:p>
    <w:p w14:paraId="778B4AC5" w14:textId="77777777" w:rsidR="0098530D" w:rsidRPr="00AB7CA1" w:rsidRDefault="0098530D" w:rsidP="0098530D">
      <w:pPr>
        <w:pStyle w:val="Texto"/>
        <w:spacing w:line="224" w:lineRule="exact"/>
        <w:ind w:left="2736" w:hanging="1152"/>
        <w:rPr>
          <w:lang w:val="es-ES_tradnl"/>
        </w:rPr>
      </w:pPr>
      <w:r w:rsidRPr="00AB7CA1">
        <w:rPr>
          <w:lang w:val="es-ES_tradnl"/>
        </w:rPr>
        <w:tab/>
      </w:r>
      <w:r w:rsidRPr="00AB7CA1">
        <w:t>Ahora bien, el numeral 15 en comento no señala como requisito para la procedencia de la exención que se trate de comisiones y contraprestaciones que deban pagarse a más tardar al momento de la autorización de los créditos, sino que sólo requiere que el acreditado las pague con motivo del otorgamiento de dichos créditos y que se originen hasta el momento de su autorización</w:t>
      </w:r>
      <w:r w:rsidRPr="00AB7CA1">
        <w:rPr>
          <w:lang w:val="es-ES_tradnl"/>
        </w:rPr>
        <w:t>.</w:t>
      </w:r>
    </w:p>
    <w:p w14:paraId="35C04D18" w14:textId="77777777" w:rsidR="0098530D" w:rsidRPr="00AB7CA1" w:rsidRDefault="0098530D" w:rsidP="0098530D">
      <w:pPr>
        <w:pStyle w:val="Texto"/>
        <w:spacing w:line="224" w:lineRule="exact"/>
        <w:ind w:left="2736" w:hanging="1152"/>
        <w:rPr>
          <w:lang w:val="es-ES_tradnl"/>
        </w:rPr>
      </w:pPr>
      <w:r w:rsidRPr="00AB7CA1">
        <w:rPr>
          <w:lang w:val="es-ES_tradnl"/>
        </w:rPr>
        <w:tab/>
        <w:t>En consecuencia, para los efectos del artículo 15, fracción I de la Ley del IVA, no se pagará dicho impuesto por las comisiones y otras contraprestaciones que cubra el acreditado a su acreedor con motivo del otorgamiento de los créditos antes mencionados, que tengan su origen en el otorgamiento de dichos créditos, aunque estas se deban pagar o efectivamente se paguen con posterioridad a la autorización de los mismos créditos.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4F870C27"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D5A705B" w14:textId="77777777" w:rsidR="0098530D" w:rsidRPr="00AB7CA1" w:rsidRDefault="0098530D" w:rsidP="00552502">
            <w:pPr>
              <w:pStyle w:val="Texto"/>
              <w:spacing w:line="224"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01951659" w14:textId="77777777" w:rsidR="0098530D" w:rsidRPr="00AB7CA1" w:rsidRDefault="0098530D" w:rsidP="00552502">
            <w:pPr>
              <w:pStyle w:val="Texto"/>
              <w:spacing w:line="224" w:lineRule="exact"/>
              <w:ind w:firstLine="0"/>
              <w:jc w:val="center"/>
              <w:rPr>
                <w:b/>
              </w:rPr>
            </w:pPr>
            <w:r w:rsidRPr="00AB7CA1">
              <w:rPr>
                <w:b/>
              </w:rPr>
              <w:t>Primer antecedente</w:t>
            </w:r>
          </w:p>
        </w:tc>
      </w:tr>
      <w:tr w:rsidR="0098530D" w:rsidRPr="00AB7CA1" w14:paraId="4689129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AEA1A60" w14:textId="77777777" w:rsidR="0098530D" w:rsidRPr="00AB7CA1" w:rsidRDefault="0098530D" w:rsidP="00552502">
            <w:pPr>
              <w:pStyle w:val="Texto"/>
              <w:spacing w:line="224" w:lineRule="exact"/>
              <w:ind w:firstLine="0"/>
            </w:pPr>
            <w:r w:rsidRPr="00AB7CA1">
              <w:t>2012</w:t>
            </w:r>
          </w:p>
        </w:tc>
        <w:tc>
          <w:tcPr>
            <w:tcW w:w="3237" w:type="pct"/>
            <w:tcBorders>
              <w:top w:val="single" w:sz="6" w:space="0" w:color="auto"/>
              <w:left w:val="single" w:sz="6" w:space="0" w:color="auto"/>
              <w:bottom w:val="single" w:sz="6" w:space="0" w:color="auto"/>
              <w:right w:val="single" w:sz="6" w:space="0" w:color="auto"/>
            </w:tcBorders>
          </w:tcPr>
          <w:p w14:paraId="52028A86" w14:textId="77777777" w:rsidR="0098530D" w:rsidRPr="00AB7CA1" w:rsidRDefault="0098530D" w:rsidP="00552502">
            <w:pPr>
              <w:pStyle w:val="Texto"/>
              <w:spacing w:line="224" w:lineRule="exact"/>
              <w:ind w:firstLine="0"/>
            </w:pPr>
            <w:r w:rsidRPr="00AB7CA1">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123/2012/IVA.</w:t>
            </w:r>
          </w:p>
        </w:tc>
      </w:tr>
    </w:tbl>
    <w:p w14:paraId="139C0C5F" w14:textId="77777777" w:rsidR="0098530D" w:rsidRPr="00AB7CA1" w:rsidRDefault="0098530D" w:rsidP="0098530D">
      <w:pPr>
        <w:pStyle w:val="Texto"/>
        <w:spacing w:line="224" w:lineRule="exact"/>
        <w:ind w:left="2736" w:hanging="1152"/>
      </w:pPr>
    </w:p>
    <w:p w14:paraId="64934B3C" w14:textId="77777777" w:rsidR="0098530D" w:rsidRPr="00AB7CA1" w:rsidRDefault="0098530D" w:rsidP="0098530D">
      <w:pPr>
        <w:pStyle w:val="Texto"/>
        <w:spacing w:line="224" w:lineRule="exact"/>
        <w:ind w:left="2736" w:hanging="1152"/>
        <w:rPr>
          <w:b/>
          <w:lang w:val="es-ES_tradnl"/>
        </w:rPr>
      </w:pPr>
      <w:r w:rsidRPr="00AB7CA1">
        <w:rPr>
          <w:b/>
        </w:rPr>
        <w:t>28/IVA/N</w:t>
      </w:r>
      <w:r w:rsidRPr="00AB7CA1">
        <w:rPr>
          <w:b/>
        </w:rPr>
        <w:tab/>
      </w:r>
      <w:r w:rsidRPr="00AB7CA1">
        <w:rPr>
          <w:b/>
          <w:lang w:val="es-ES_tradnl"/>
        </w:rPr>
        <w:t>Intereses moratorios.</w:t>
      </w:r>
    </w:p>
    <w:p w14:paraId="01BA3BE1" w14:textId="77777777" w:rsidR="0098530D" w:rsidRPr="00AB7CA1" w:rsidRDefault="0098530D" w:rsidP="0098530D">
      <w:pPr>
        <w:pStyle w:val="Texto"/>
        <w:spacing w:line="224" w:lineRule="exact"/>
        <w:ind w:left="2736" w:hanging="1152"/>
        <w:rPr>
          <w:lang w:val="es-ES_tradnl"/>
        </w:rPr>
      </w:pPr>
      <w:r w:rsidRPr="00AB7CA1">
        <w:rPr>
          <w:b/>
          <w:lang w:val="es-ES_tradnl"/>
        </w:rPr>
        <w:tab/>
      </w:r>
      <w:r w:rsidRPr="00AB7CA1">
        <w:rPr>
          <w:lang w:val="es-ES_tradnl"/>
        </w:rPr>
        <w:t>El artículo 15, fracción X de la Ley del IVA establece que no se pagará dicho impuesto por la prestación de servicios por los que derivan intereses, en los casos en que la misma ley señala.</w:t>
      </w:r>
    </w:p>
    <w:p w14:paraId="6097DC9C" w14:textId="77777777" w:rsidR="0098530D" w:rsidRPr="00AB7CA1" w:rsidRDefault="0098530D" w:rsidP="0098530D">
      <w:pPr>
        <w:pStyle w:val="Texto"/>
        <w:spacing w:line="224" w:lineRule="exact"/>
        <w:ind w:left="2736" w:hanging="1152"/>
        <w:rPr>
          <w:lang w:val="es-ES_tradnl"/>
        </w:rPr>
      </w:pPr>
      <w:r w:rsidRPr="00AB7CA1">
        <w:rPr>
          <w:lang w:val="es-ES_tradnl"/>
        </w:rPr>
        <w:tab/>
        <w:t>Por tanto, ello incluye a los intereses normales como a los intereses moratorios ya que la misma disposición no distingue ni limita dicho concepto.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37F0F576"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3CF73D84" w14:textId="77777777" w:rsidR="0098530D" w:rsidRPr="00AB7CA1" w:rsidRDefault="0098530D" w:rsidP="00552502">
            <w:pPr>
              <w:pStyle w:val="Texto"/>
              <w:spacing w:line="224"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73FFD08F" w14:textId="77777777" w:rsidR="0098530D" w:rsidRPr="00AB7CA1" w:rsidRDefault="0098530D" w:rsidP="00552502">
            <w:pPr>
              <w:pStyle w:val="Texto"/>
              <w:spacing w:line="224" w:lineRule="exact"/>
              <w:ind w:firstLine="0"/>
              <w:jc w:val="center"/>
              <w:rPr>
                <w:b/>
              </w:rPr>
            </w:pPr>
            <w:r w:rsidRPr="00AB7CA1">
              <w:rPr>
                <w:b/>
              </w:rPr>
              <w:t>Primer antecedente</w:t>
            </w:r>
          </w:p>
        </w:tc>
      </w:tr>
      <w:tr w:rsidR="0098530D" w:rsidRPr="00AB7CA1" w14:paraId="7247BCB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2057EEB" w14:textId="77777777" w:rsidR="0098530D" w:rsidRPr="00AB7CA1" w:rsidRDefault="0098530D" w:rsidP="00552502">
            <w:pPr>
              <w:pStyle w:val="Texto"/>
              <w:spacing w:line="224" w:lineRule="exact"/>
              <w:ind w:firstLine="0"/>
            </w:pPr>
            <w:r w:rsidRPr="00AB7CA1">
              <w:t>7.</w:t>
            </w:r>
          </w:p>
        </w:tc>
        <w:tc>
          <w:tcPr>
            <w:tcW w:w="3237" w:type="pct"/>
            <w:tcBorders>
              <w:top w:val="single" w:sz="6" w:space="0" w:color="auto"/>
              <w:left w:val="single" w:sz="6" w:space="0" w:color="auto"/>
              <w:bottom w:val="single" w:sz="6" w:space="0" w:color="auto"/>
              <w:right w:val="single" w:sz="6" w:space="0" w:color="auto"/>
            </w:tcBorders>
          </w:tcPr>
          <w:p w14:paraId="17E2C90D" w14:textId="77777777" w:rsidR="0098530D" w:rsidRPr="00AB7CA1" w:rsidRDefault="0098530D" w:rsidP="00552502">
            <w:pPr>
              <w:pStyle w:val="Texto"/>
              <w:spacing w:line="224" w:lineRule="exact"/>
              <w:ind w:firstLine="0"/>
            </w:pPr>
            <w:r w:rsidRPr="00AB7CA1">
              <w:t>Oficio 325-A-VII-10973 de 3 de diciembre de 1996, a través del cual se hacen del conocimiento diversos criterios normativos.</w:t>
            </w:r>
          </w:p>
        </w:tc>
      </w:tr>
    </w:tbl>
    <w:p w14:paraId="452036F0" w14:textId="77777777" w:rsidR="0098530D" w:rsidRPr="00AB7CA1" w:rsidRDefault="0098530D" w:rsidP="0098530D">
      <w:pPr>
        <w:pStyle w:val="Texto"/>
        <w:spacing w:line="224" w:lineRule="exact"/>
        <w:ind w:left="2736" w:hanging="1152"/>
        <w:rPr>
          <w:b/>
        </w:rPr>
      </w:pPr>
    </w:p>
    <w:p w14:paraId="7FE86954" w14:textId="77777777" w:rsidR="0098530D" w:rsidRPr="00AB7CA1" w:rsidRDefault="0098530D" w:rsidP="0098530D">
      <w:pPr>
        <w:pStyle w:val="Texto"/>
        <w:spacing w:line="224" w:lineRule="exact"/>
        <w:ind w:left="2736" w:hanging="1152"/>
        <w:rPr>
          <w:b/>
          <w:lang w:val="es-ES_tradnl"/>
        </w:rPr>
      </w:pPr>
      <w:r w:rsidRPr="00AB7CA1">
        <w:rPr>
          <w:b/>
        </w:rPr>
        <w:t>29/IVA/N</w:t>
      </w:r>
      <w:r w:rsidRPr="00AB7CA1">
        <w:rPr>
          <w:b/>
        </w:rPr>
        <w:tab/>
      </w:r>
      <w:r w:rsidRPr="00AB7CA1">
        <w:rPr>
          <w:b/>
          <w:lang w:val="es-ES_tradnl"/>
        </w:rPr>
        <w:t>Intereses en financiamientos de actos gravados a la tasa del 0% o exentos.</w:t>
      </w:r>
    </w:p>
    <w:p w14:paraId="121DBB0C" w14:textId="77777777" w:rsidR="0098530D" w:rsidRPr="00AB7CA1" w:rsidRDefault="0098530D" w:rsidP="0098530D">
      <w:pPr>
        <w:pStyle w:val="Texto"/>
        <w:spacing w:line="224" w:lineRule="exact"/>
        <w:ind w:left="2736" w:hanging="1152"/>
      </w:pPr>
      <w:r w:rsidRPr="00AB7CA1">
        <w:rPr>
          <w:b/>
          <w:lang w:val="es-ES_tradnl"/>
        </w:rPr>
        <w:tab/>
      </w:r>
      <w:r w:rsidRPr="00AB7CA1">
        <w:rPr>
          <w:lang w:val="es-ES_tradnl"/>
        </w:rPr>
        <w:t xml:space="preserve">El artículo 15, fracción X, inciso a) de la Ley del IVA establece que no se pagará dicho impuesto por la prestación de servicios por los que deriven </w:t>
      </w:r>
      <w:r w:rsidRPr="00AB7CA1">
        <w:rPr>
          <w:lang w:val="es-ES_tradnl"/>
        </w:rPr>
        <w:lastRenderedPageBreak/>
        <w:t>intereses de financiamiento en los casos en los que el enajenante, el prestador de un servicio o el que otorga el uso o goce temporal de bienes proporcione financiamiento relacionado con actos o actividades por los que no se esté obligado al pago de este impuesto o a los que se les aplique la tasa del 0%.</w:t>
      </w:r>
    </w:p>
    <w:p w14:paraId="199D74D5" w14:textId="77777777" w:rsidR="0098530D" w:rsidRPr="00AB7CA1" w:rsidRDefault="0098530D" w:rsidP="0098530D">
      <w:pPr>
        <w:pStyle w:val="Texto"/>
        <w:spacing w:line="225" w:lineRule="exact"/>
        <w:ind w:left="2736" w:hanging="1152"/>
        <w:rPr>
          <w:lang w:val="es-ES_tradnl"/>
        </w:rPr>
      </w:pPr>
      <w:r w:rsidRPr="00AB7CA1">
        <w:tab/>
        <w:t>Por su parte, el artículo 37 del Reglamento de la Ley del IVA establece que no se estará obligado al pago del impuesto por los intereses derivados de operaciones de financiamiento, aún cuando quien proporcione el financiamiento no sea la misma persona que enajene el bien, siempre que en el contrato correspondiente se condicione el préstamo a la adquisición de un determinado inmueble destinado a casa habitación.</w:t>
      </w:r>
    </w:p>
    <w:p w14:paraId="4897CF11" w14:textId="77777777" w:rsidR="0098530D" w:rsidRPr="00AB7CA1" w:rsidRDefault="0098530D" w:rsidP="0098530D">
      <w:pPr>
        <w:pStyle w:val="Texto"/>
        <w:spacing w:line="225" w:lineRule="exact"/>
        <w:ind w:left="2736" w:hanging="1152"/>
      </w:pPr>
      <w:r w:rsidRPr="00AB7CA1">
        <w:rPr>
          <w:lang w:val="es-ES_tradnl"/>
        </w:rPr>
        <w:tab/>
      </w:r>
      <w:r w:rsidRPr="00AB7CA1">
        <w:t>Por ello, de la interpretación a contrario sensu y sin perjuicio de lo señalado por el artículo 37 antes citado, si quien otorga el crédito o financiamiento no es el enajenante, el prestador de un servicio o el que otorga el uso o goce temporal de bienes, dicho financiamiento no estará exento, conforme al artículo 15, fracción X, inciso a) de la Ley del IVA, aunque pudiera estarlo conforme a otra disposición de la propia ley.</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497732E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02EFA828" w14:textId="77777777" w:rsidR="0098530D" w:rsidRPr="00AB7CA1" w:rsidRDefault="0098530D" w:rsidP="00552502">
            <w:pPr>
              <w:pStyle w:val="Texto"/>
              <w:spacing w:line="225"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F12A600" w14:textId="77777777" w:rsidR="0098530D" w:rsidRPr="00AB7CA1" w:rsidRDefault="0098530D" w:rsidP="00552502">
            <w:pPr>
              <w:pStyle w:val="Texto"/>
              <w:spacing w:line="225" w:lineRule="exact"/>
              <w:ind w:firstLine="0"/>
              <w:jc w:val="center"/>
              <w:rPr>
                <w:b/>
              </w:rPr>
            </w:pPr>
            <w:r w:rsidRPr="00AB7CA1">
              <w:rPr>
                <w:b/>
              </w:rPr>
              <w:t>Primer antecedente</w:t>
            </w:r>
          </w:p>
        </w:tc>
      </w:tr>
      <w:tr w:rsidR="0098530D" w:rsidRPr="00AB7CA1" w14:paraId="6D65553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CE9B8A3" w14:textId="77777777" w:rsidR="0098530D" w:rsidRPr="00AB7CA1" w:rsidRDefault="0098530D" w:rsidP="00552502">
            <w:pPr>
              <w:pStyle w:val="Texto"/>
              <w:spacing w:line="225" w:lineRule="exact"/>
              <w:ind w:firstLine="0"/>
            </w:pPr>
            <w:r w:rsidRPr="00AB7CA1">
              <w:t>10.</w:t>
            </w:r>
          </w:p>
        </w:tc>
        <w:tc>
          <w:tcPr>
            <w:tcW w:w="3237" w:type="pct"/>
            <w:tcBorders>
              <w:top w:val="single" w:sz="6" w:space="0" w:color="auto"/>
              <w:left w:val="single" w:sz="6" w:space="0" w:color="auto"/>
              <w:bottom w:val="single" w:sz="6" w:space="0" w:color="auto"/>
              <w:right w:val="single" w:sz="6" w:space="0" w:color="auto"/>
            </w:tcBorders>
          </w:tcPr>
          <w:p w14:paraId="2D5D3FCD" w14:textId="77777777" w:rsidR="0098530D" w:rsidRPr="00AB7CA1" w:rsidRDefault="0098530D" w:rsidP="00552502">
            <w:pPr>
              <w:pStyle w:val="Texto"/>
              <w:spacing w:line="225" w:lineRule="exact"/>
              <w:ind w:firstLine="0"/>
            </w:pPr>
            <w:r w:rsidRPr="00AB7CA1">
              <w:t xml:space="preserve">Oficio 325-A-VII-10960 de 14 de octubre de 1996, a través del cual se hacen de conocimiento los criterios aprobados por el Comité de Normatividad en su sesión No. 21, celebrada el 10 de octubre de 1996. </w:t>
            </w:r>
          </w:p>
        </w:tc>
      </w:tr>
      <w:tr w:rsidR="0098530D" w:rsidRPr="00AB7CA1" w14:paraId="2A2EAF1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tcPr>
          <w:p w14:paraId="63840715" w14:textId="77777777" w:rsidR="0098530D" w:rsidRPr="00AB7CA1" w:rsidRDefault="0098530D" w:rsidP="00552502">
            <w:pPr>
              <w:pStyle w:val="Texto"/>
              <w:spacing w:line="225" w:lineRule="exact"/>
              <w:ind w:firstLine="0"/>
              <w:jc w:val="center"/>
            </w:pP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B10AFA2" w14:textId="77777777" w:rsidR="0098530D" w:rsidRPr="00AB7CA1" w:rsidRDefault="0098530D" w:rsidP="00552502">
            <w:pPr>
              <w:pStyle w:val="Texto"/>
              <w:spacing w:line="225" w:lineRule="exact"/>
              <w:ind w:firstLine="0"/>
              <w:jc w:val="center"/>
              <w:rPr>
                <w:b/>
              </w:rPr>
            </w:pPr>
            <w:r w:rsidRPr="00AB7CA1">
              <w:rPr>
                <w:b/>
              </w:rPr>
              <w:t>Modificación</w:t>
            </w:r>
          </w:p>
        </w:tc>
      </w:tr>
      <w:tr w:rsidR="0098530D" w:rsidRPr="00AB7CA1" w14:paraId="432CE9B0"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5C0106DC" w14:textId="77777777" w:rsidR="0098530D" w:rsidRPr="00AB7CA1" w:rsidRDefault="0098530D" w:rsidP="00552502">
            <w:pPr>
              <w:pStyle w:val="Texto"/>
              <w:spacing w:line="225" w:lineRule="exact"/>
              <w:ind w:firstLine="0"/>
            </w:pPr>
            <w:r w:rsidRPr="00AB7CA1">
              <w:t>Segunda Resolución de Modificaciones a la RMF 2017</w:t>
            </w:r>
          </w:p>
        </w:tc>
        <w:tc>
          <w:tcPr>
            <w:tcW w:w="3237" w:type="pct"/>
            <w:tcBorders>
              <w:top w:val="single" w:sz="6" w:space="0" w:color="auto"/>
              <w:left w:val="single" w:sz="6" w:space="0" w:color="auto"/>
              <w:bottom w:val="single" w:sz="6" w:space="0" w:color="auto"/>
              <w:right w:val="single" w:sz="6" w:space="0" w:color="auto"/>
            </w:tcBorders>
          </w:tcPr>
          <w:p w14:paraId="2E711484" w14:textId="77777777" w:rsidR="0098530D" w:rsidRPr="00AB7CA1" w:rsidRDefault="0098530D" w:rsidP="00552502">
            <w:pPr>
              <w:pStyle w:val="Texto"/>
              <w:spacing w:line="225" w:lineRule="exact"/>
              <w:ind w:firstLine="0"/>
            </w:pPr>
            <w:r w:rsidRPr="00AB7CA1">
              <w:t>Publicada en el DOF el 18 de julio de 2017, Anexo 7 publicado en el DOF el 21 de julio de 2017.</w:t>
            </w:r>
          </w:p>
        </w:tc>
      </w:tr>
    </w:tbl>
    <w:p w14:paraId="2D0DE7B2" w14:textId="77777777" w:rsidR="0098530D" w:rsidRPr="00AB7CA1" w:rsidRDefault="0098530D" w:rsidP="0098530D">
      <w:pPr>
        <w:pStyle w:val="Texto"/>
        <w:spacing w:line="226" w:lineRule="exact"/>
        <w:ind w:left="2736" w:hanging="1152"/>
        <w:rPr>
          <w:b/>
        </w:rPr>
      </w:pPr>
    </w:p>
    <w:p w14:paraId="097E5A94" w14:textId="77777777" w:rsidR="0098530D" w:rsidRPr="00AB7CA1" w:rsidRDefault="0098530D" w:rsidP="0098530D">
      <w:pPr>
        <w:pStyle w:val="Texto"/>
        <w:spacing w:line="226" w:lineRule="exact"/>
        <w:ind w:left="2736" w:hanging="1152"/>
        <w:rPr>
          <w:b/>
          <w:lang w:val="es-ES_tradnl"/>
        </w:rPr>
      </w:pPr>
      <w:r w:rsidRPr="00AB7CA1">
        <w:rPr>
          <w:b/>
        </w:rPr>
        <w:t>30/IVA/N</w:t>
      </w:r>
      <w:r w:rsidRPr="00AB7CA1">
        <w:rPr>
          <w:b/>
        </w:rPr>
        <w:tab/>
        <w:t>Propinas. No forman parte de la base gravable del IVA</w:t>
      </w:r>
      <w:r w:rsidRPr="00AB7CA1">
        <w:rPr>
          <w:b/>
          <w:lang w:val="es-ES_tradnl"/>
        </w:rPr>
        <w:t>.</w:t>
      </w:r>
    </w:p>
    <w:p w14:paraId="4F659B1C" w14:textId="77777777" w:rsidR="0098530D" w:rsidRPr="00AB7CA1" w:rsidRDefault="0098530D" w:rsidP="0098530D">
      <w:pPr>
        <w:pStyle w:val="Texto"/>
        <w:spacing w:line="226" w:lineRule="exact"/>
        <w:ind w:left="2736" w:hanging="1152"/>
        <w:rPr>
          <w:lang w:val="es-ES_tradnl"/>
        </w:rPr>
      </w:pPr>
      <w:r w:rsidRPr="00AB7CA1">
        <w:rPr>
          <w:b/>
          <w:lang w:val="es-ES_tradnl"/>
        </w:rPr>
        <w:tab/>
      </w:r>
      <w:r w:rsidRPr="00AB7CA1">
        <w:rPr>
          <w:lang w:val="es-ES_tradnl"/>
        </w:rPr>
        <w:t>El artículo 18 de la Ley del IVA establece que para calcular el impuesto tratándose de prestación de servicios, se considerará como valor el total de la contraprestación pactada, así como las cantidades que además se carguen o cobren a quien reciba el servicio por otros impuestos, derechos, viáticos, gastos de toda clase, reembolsos, intereses normales o moratorios, penas convencionales y cualquier otro concepto.</w:t>
      </w:r>
    </w:p>
    <w:p w14:paraId="07FC559F" w14:textId="77777777" w:rsidR="0098530D" w:rsidRPr="00AB7CA1" w:rsidRDefault="0098530D" w:rsidP="0098530D">
      <w:pPr>
        <w:pStyle w:val="Texto"/>
        <w:spacing w:line="226" w:lineRule="exact"/>
        <w:ind w:left="2736" w:hanging="1152"/>
        <w:rPr>
          <w:lang w:val="es-ES_tradnl"/>
        </w:rPr>
      </w:pPr>
      <w:r w:rsidRPr="00AB7CA1">
        <w:rPr>
          <w:lang w:val="es-ES_tradnl"/>
        </w:rPr>
        <w:tab/>
        <w:t>El artículo 346 de la Ley Federal del Trabajo indica que las propinas son parte del salario de los trabajadores, por lo que los patrones no podrán reservarse ni tener participación alguna en ellas.</w:t>
      </w:r>
    </w:p>
    <w:p w14:paraId="766D5D12" w14:textId="77777777" w:rsidR="0098530D" w:rsidRPr="00AB7CA1" w:rsidRDefault="0098530D" w:rsidP="0098530D">
      <w:pPr>
        <w:pStyle w:val="Texto"/>
        <w:spacing w:line="226" w:lineRule="exact"/>
        <w:ind w:left="2736" w:hanging="1152"/>
        <w:rPr>
          <w:lang w:val="es-ES_tradnl"/>
        </w:rPr>
      </w:pPr>
      <w:r w:rsidRPr="00AB7CA1">
        <w:rPr>
          <w:lang w:val="es-ES_tradnl"/>
        </w:rPr>
        <w:tab/>
        <w:t>De la interpretación armónica a los preceptos en cita se desprende que las remuneraciones que se perciben por concepto de propina no forman parte de la base gravable del IVA por la prestación de servicios; lo anterior, ya que el prestador de los servicios, el patrón, no puede reservarse participación alguna sobre las propinas al ser parte del salario de los trabajadores.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7A9F1E72"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C98711A" w14:textId="77777777" w:rsidR="0098530D" w:rsidRPr="00AB7CA1" w:rsidRDefault="0098530D" w:rsidP="00552502">
            <w:pPr>
              <w:pStyle w:val="Texto"/>
              <w:spacing w:line="226"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F37CC22" w14:textId="77777777" w:rsidR="0098530D" w:rsidRPr="00AB7CA1" w:rsidRDefault="0098530D" w:rsidP="00552502">
            <w:pPr>
              <w:pStyle w:val="Texto"/>
              <w:spacing w:line="226" w:lineRule="exact"/>
              <w:ind w:firstLine="0"/>
              <w:jc w:val="center"/>
              <w:rPr>
                <w:b/>
              </w:rPr>
            </w:pPr>
            <w:r w:rsidRPr="00AB7CA1">
              <w:rPr>
                <w:b/>
              </w:rPr>
              <w:t>Primer antecedente</w:t>
            </w:r>
          </w:p>
        </w:tc>
      </w:tr>
      <w:tr w:rsidR="0098530D" w:rsidRPr="00AB7CA1" w14:paraId="4874A66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5600369" w14:textId="77777777" w:rsidR="0098530D" w:rsidRPr="00AB7CA1" w:rsidRDefault="0098530D" w:rsidP="00552502">
            <w:pPr>
              <w:pStyle w:val="Texto"/>
              <w:spacing w:line="226" w:lineRule="exact"/>
              <w:ind w:firstLine="0"/>
            </w:pPr>
            <w:r w:rsidRPr="00AB7CA1">
              <w:t>108/2004/IVA</w:t>
            </w:r>
          </w:p>
        </w:tc>
        <w:tc>
          <w:tcPr>
            <w:tcW w:w="3237" w:type="pct"/>
            <w:tcBorders>
              <w:top w:val="single" w:sz="6" w:space="0" w:color="auto"/>
              <w:left w:val="single" w:sz="6" w:space="0" w:color="auto"/>
              <w:bottom w:val="single" w:sz="6" w:space="0" w:color="auto"/>
              <w:right w:val="single" w:sz="6" w:space="0" w:color="auto"/>
            </w:tcBorders>
          </w:tcPr>
          <w:p w14:paraId="0F6FA0B3" w14:textId="77777777" w:rsidR="0098530D" w:rsidRPr="00AB7CA1" w:rsidRDefault="0098530D" w:rsidP="00552502">
            <w:pPr>
              <w:pStyle w:val="Texto"/>
              <w:spacing w:line="226" w:lineRule="exact"/>
              <w:ind w:firstLine="0"/>
            </w:pPr>
            <w:r w:rsidRPr="00AB7CA1">
              <w:t>Oficio 325-SAT-IV-B-91597 de 31 de agosto de 2004, mediante el cual se emite la liberación de la primera parte del Boletín 2004.</w:t>
            </w:r>
          </w:p>
        </w:tc>
      </w:tr>
    </w:tbl>
    <w:p w14:paraId="3E2194AA" w14:textId="77777777" w:rsidR="0098530D" w:rsidRPr="00AB7CA1" w:rsidRDefault="0098530D" w:rsidP="0098530D">
      <w:pPr>
        <w:pStyle w:val="Texto"/>
        <w:spacing w:line="226" w:lineRule="exact"/>
        <w:ind w:left="2736" w:hanging="1152"/>
        <w:rPr>
          <w:b/>
        </w:rPr>
      </w:pPr>
    </w:p>
    <w:p w14:paraId="29511B45" w14:textId="77777777" w:rsidR="0098530D" w:rsidRPr="00AB7CA1" w:rsidRDefault="0098530D" w:rsidP="0098530D">
      <w:pPr>
        <w:pStyle w:val="Texto"/>
        <w:spacing w:line="226" w:lineRule="exact"/>
        <w:ind w:left="2736" w:hanging="1152"/>
        <w:rPr>
          <w:b/>
          <w:lang w:val="es-ES_tradnl"/>
        </w:rPr>
      </w:pPr>
      <w:r w:rsidRPr="00AB7CA1">
        <w:rPr>
          <w:b/>
        </w:rPr>
        <w:t>31/IVA/N</w:t>
      </w:r>
      <w:r w:rsidRPr="00AB7CA1">
        <w:rPr>
          <w:b/>
        </w:rPr>
        <w:tab/>
        <w:t>IVA. Base</w:t>
      </w:r>
      <w:r w:rsidRPr="00AB7CA1">
        <w:t xml:space="preserve"> </w:t>
      </w:r>
      <w:r w:rsidRPr="00AB7CA1">
        <w:rPr>
          <w:b/>
        </w:rPr>
        <w:t>del impuesto por la prestación del servicio de emisión de vales y monederos electrónicos</w:t>
      </w:r>
      <w:r w:rsidRPr="00AB7CA1">
        <w:rPr>
          <w:b/>
          <w:lang w:val="es-ES_tradnl"/>
        </w:rPr>
        <w:t>.</w:t>
      </w:r>
    </w:p>
    <w:p w14:paraId="278FF3EB" w14:textId="77777777" w:rsidR="0098530D" w:rsidRPr="00AB7CA1" w:rsidRDefault="0098530D" w:rsidP="0098530D">
      <w:pPr>
        <w:pStyle w:val="Texto"/>
        <w:spacing w:line="226" w:lineRule="exact"/>
        <w:ind w:left="2736" w:hanging="1152"/>
        <w:rPr>
          <w:lang w:val="es-ES_tradnl"/>
        </w:rPr>
      </w:pPr>
      <w:r w:rsidRPr="00AB7CA1">
        <w:rPr>
          <w:b/>
          <w:lang w:val="es-ES_tradnl"/>
        </w:rPr>
        <w:lastRenderedPageBreak/>
        <w:tab/>
      </w:r>
      <w:r w:rsidRPr="00AB7CA1">
        <w:rPr>
          <w:lang w:val="es-ES_tradnl"/>
        </w:rPr>
        <w:t>El artículo 18, primer párrafo de la Ley del IVA establece que para calcular dicho impuesto, tratándose de prestación de servicios, se considerará como valor el total de la contraprestación pactada, así como las cantidades que además se carguen o cobren a quien recibe el servicio por otros impuestos, derechos, viáticos, gastos de toda clase, reembolsos, intereses normales o moratorios, penas convencionales y cualquier otro concepto.</w:t>
      </w:r>
    </w:p>
    <w:p w14:paraId="588D4DA5" w14:textId="77777777" w:rsidR="0098530D" w:rsidRPr="00AB7CA1" w:rsidRDefault="0098530D" w:rsidP="0098530D">
      <w:pPr>
        <w:pStyle w:val="Texto"/>
        <w:spacing w:line="232" w:lineRule="exact"/>
        <w:ind w:left="2736" w:hanging="1152"/>
        <w:rPr>
          <w:lang w:val="es-ES_tradnl"/>
        </w:rPr>
      </w:pPr>
      <w:r w:rsidRPr="00AB7CA1">
        <w:rPr>
          <w:lang w:val="es-ES_tradnl"/>
        </w:rPr>
        <w:tab/>
      </w:r>
      <w:r w:rsidRPr="00AB7CA1">
        <w:t>Por lo anterior, tratándose del servicio de emisión de vales y monederos</w:t>
      </w:r>
      <w:r w:rsidRPr="00AB7CA1">
        <w:rPr>
          <w:b/>
        </w:rPr>
        <w:t xml:space="preserve"> </w:t>
      </w:r>
      <w:r w:rsidRPr="00AB7CA1">
        <w:t>electrónicos la base, el valor, para los efectos del IVA, deberá ser el monto de la contraprestación por el servicio de emisión de vales y monederos</w:t>
      </w:r>
      <w:r w:rsidRPr="00AB7CA1">
        <w:rPr>
          <w:b/>
        </w:rPr>
        <w:t xml:space="preserve"> </w:t>
      </w:r>
      <w:r w:rsidRPr="00AB7CA1">
        <w:t>electrónicos, conocida como comisión, sin incluir el importe o valor nominal de los vales y monederos</w:t>
      </w:r>
      <w:r w:rsidRPr="00AB7CA1">
        <w:rPr>
          <w:b/>
        </w:rPr>
        <w:t xml:space="preserve"> </w:t>
      </w:r>
      <w:r w:rsidRPr="00AB7CA1">
        <w:t>electrónicos</w:t>
      </w:r>
      <w:r w:rsidRPr="00AB7CA1">
        <w:rPr>
          <w:lang w:val="es-ES_tradnl"/>
        </w:rPr>
        <w:t>.</w:t>
      </w:r>
    </w:p>
    <w:p w14:paraId="3FE89386" w14:textId="77777777" w:rsidR="0098530D" w:rsidRPr="00AB7CA1" w:rsidRDefault="0098530D" w:rsidP="0098530D">
      <w:pPr>
        <w:pStyle w:val="Texto"/>
        <w:spacing w:line="232" w:lineRule="exact"/>
        <w:ind w:left="2736" w:hanging="1152"/>
        <w:rPr>
          <w:lang w:val="es-ES_tradnl"/>
        </w:rPr>
      </w:pPr>
      <w:r w:rsidRPr="00AB7CA1">
        <w:rPr>
          <w:lang w:val="es-ES_tradnl"/>
        </w:rPr>
        <w:tab/>
      </w:r>
      <w:r w:rsidRPr="00AB7CA1">
        <w:t>En este sentido, para calcular la base del IVA los prestadores del servicio de emisión de vales y monederos</w:t>
      </w:r>
      <w:r w:rsidRPr="00AB7CA1">
        <w:rPr>
          <w:b/>
        </w:rPr>
        <w:t xml:space="preserve"> </w:t>
      </w:r>
      <w:r w:rsidRPr="00AB7CA1">
        <w:t>electrónicos deberán considerar como valor el total de la contraprestación pactada por la prestación del servicio de emisión de vales y monederos</w:t>
      </w:r>
      <w:r w:rsidRPr="00AB7CA1">
        <w:rPr>
          <w:b/>
        </w:rPr>
        <w:t xml:space="preserve"> </w:t>
      </w:r>
      <w:r w:rsidRPr="00AB7CA1">
        <w:t>electrónicos conocida como comisión, excluyendo el importe o valor nominal de los vales y monederos</w:t>
      </w:r>
      <w:r w:rsidRPr="00AB7CA1">
        <w:rPr>
          <w:b/>
        </w:rPr>
        <w:t xml:space="preserve"> </w:t>
      </w:r>
      <w:r w:rsidRPr="00AB7CA1">
        <w:t>electrónicos</w:t>
      </w:r>
      <w:r w:rsidRPr="00AB7CA1">
        <w:rPr>
          <w:lang w:val="es-ES_tradnl"/>
        </w:rPr>
        <w:t>.</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55606DC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8705AB0" w14:textId="77777777" w:rsidR="0098530D" w:rsidRPr="00AB7CA1" w:rsidRDefault="0098530D" w:rsidP="00552502">
            <w:pPr>
              <w:pStyle w:val="Texto"/>
              <w:spacing w:line="232"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953F810" w14:textId="77777777" w:rsidR="0098530D" w:rsidRPr="00AB7CA1" w:rsidRDefault="0098530D" w:rsidP="00552502">
            <w:pPr>
              <w:pStyle w:val="Texto"/>
              <w:spacing w:line="232" w:lineRule="exact"/>
              <w:ind w:firstLine="0"/>
              <w:jc w:val="center"/>
              <w:rPr>
                <w:b/>
              </w:rPr>
            </w:pPr>
            <w:r w:rsidRPr="00AB7CA1">
              <w:rPr>
                <w:b/>
              </w:rPr>
              <w:t>Primer antecedente</w:t>
            </w:r>
          </w:p>
        </w:tc>
      </w:tr>
      <w:tr w:rsidR="0098530D" w:rsidRPr="00AB7CA1" w14:paraId="251ED5A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F5F6D30" w14:textId="77777777" w:rsidR="0098530D" w:rsidRPr="00AB7CA1" w:rsidRDefault="0098530D" w:rsidP="00552502">
            <w:pPr>
              <w:pStyle w:val="Texto"/>
              <w:spacing w:line="232" w:lineRule="exact"/>
              <w:ind w:firstLine="0"/>
            </w:pPr>
            <w:r w:rsidRPr="00AB7CA1">
              <w:t>2010</w:t>
            </w:r>
          </w:p>
        </w:tc>
        <w:tc>
          <w:tcPr>
            <w:tcW w:w="3237" w:type="pct"/>
            <w:tcBorders>
              <w:top w:val="single" w:sz="6" w:space="0" w:color="auto"/>
              <w:left w:val="single" w:sz="6" w:space="0" w:color="auto"/>
              <w:bottom w:val="single" w:sz="6" w:space="0" w:color="auto"/>
              <w:right w:val="single" w:sz="6" w:space="0" w:color="auto"/>
            </w:tcBorders>
          </w:tcPr>
          <w:p w14:paraId="3AECAFBE" w14:textId="77777777" w:rsidR="0098530D" w:rsidRPr="00AB7CA1" w:rsidRDefault="0098530D" w:rsidP="00552502">
            <w:pPr>
              <w:pStyle w:val="Texto"/>
              <w:spacing w:line="232" w:lineRule="exact"/>
              <w:ind w:firstLine="0"/>
            </w:pPr>
            <w:r w:rsidRPr="00AB7CA1">
              <w:t>Oficio 600-04-02-2010-68009 de 26 de julio de 2010, mediante el cual se dan a conocer los criterios normativos aprobados en el primer semestre 2010. Oficio 600-04-02-2010-69707 de 17 de diciembre de 2010, a través del cual se autoriza el Boletín 2010, con el número de criterio normativo 99/2010/IVA.</w:t>
            </w:r>
          </w:p>
        </w:tc>
      </w:tr>
    </w:tbl>
    <w:p w14:paraId="2AF83CE5" w14:textId="77777777" w:rsidR="0098530D" w:rsidRPr="00AB7CA1" w:rsidRDefault="0098530D" w:rsidP="0098530D">
      <w:pPr>
        <w:pStyle w:val="Texto"/>
        <w:spacing w:line="232" w:lineRule="exact"/>
        <w:ind w:left="2736" w:hanging="1152"/>
        <w:rPr>
          <w:b/>
        </w:rPr>
      </w:pPr>
    </w:p>
    <w:p w14:paraId="1044D803" w14:textId="77777777" w:rsidR="0098530D" w:rsidRPr="00AB7CA1" w:rsidRDefault="0098530D" w:rsidP="0098530D">
      <w:pPr>
        <w:pStyle w:val="Texto"/>
        <w:spacing w:line="232" w:lineRule="exact"/>
        <w:ind w:left="2736" w:hanging="1152"/>
        <w:rPr>
          <w:b/>
        </w:rPr>
      </w:pPr>
      <w:r w:rsidRPr="00AB7CA1">
        <w:rPr>
          <w:b/>
        </w:rPr>
        <w:t>32/IVA/N</w:t>
      </w:r>
      <w:r w:rsidRPr="00AB7CA1">
        <w:rPr>
          <w:b/>
        </w:rPr>
        <w:tab/>
        <w:t>IVA. Está exenta la importación de mercancías gravadas a la tasa</w:t>
      </w:r>
      <w:r>
        <w:rPr>
          <w:b/>
        </w:rPr>
        <w:t xml:space="preserve"> </w:t>
      </w:r>
      <w:r w:rsidRPr="00AB7CA1">
        <w:rPr>
          <w:b/>
        </w:rPr>
        <w:t>del 0%.</w:t>
      </w:r>
    </w:p>
    <w:p w14:paraId="3C1FB51F" w14:textId="77777777" w:rsidR="0098530D" w:rsidRPr="00AB7CA1" w:rsidRDefault="0098530D" w:rsidP="0098530D">
      <w:pPr>
        <w:pStyle w:val="Texto"/>
        <w:spacing w:line="232" w:lineRule="exact"/>
        <w:ind w:left="2736" w:hanging="1152"/>
        <w:rPr>
          <w:lang w:val="es-ES_tradnl"/>
        </w:rPr>
      </w:pPr>
      <w:r w:rsidRPr="00AB7CA1">
        <w:rPr>
          <w:b/>
        </w:rPr>
        <w:tab/>
      </w:r>
      <w:r w:rsidRPr="00AB7CA1">
        <w:rPr>
          <w:lang w:val="es-ES_tradnl"/>
        </w:rPr>
        <w:t>De conformidad con el artículo 25, fracción III de la Ley del IVA, no se pagará el IVA en las importaciones de bienes cuya enajenación en el país y de servicios prestados en territorio nacional no den lugar al pago de dicho impuesto o cuando sean de los señalados en el artículo 2o.-A de la mencionada ley.</w:t>
      </w:r>
    </w:p>
    <w:p w14:paraId="27742B6C" w14:textId="77777777" w:rsidR="0098530D" w:rsidRPr="00AB7CA1" w:rsidRDefault="0098530D" w:rsidP="0098530D">
      <w:pPr>
        <w:pStyle w:val="Texto"/>
        <w:spacing w:line="232" w:lineRule="exact"/>
        <w:ind w:left="2736" w:hanging="1152"/>
        <w:rPr>
          <w:lang w:val="es-ES_tradnl"/>
        </w:rPr>
      </w:pPr>
      <w:r w:rsidRPr="00AB7CA1">
        <w:rPr>
          <w:lang w:val="es-ES_tradnl"/>
        </w:rPr>
        <w:tab/>
        <w:t>El artículo 2o.-A del citado ordenamiento señala diversos bienes y servicios cuya enajenación o prestación en territorio nacional están gravados con la tasa 0%, en la cual no se establece dicha tasa para la importación de los referidos bienes o servicios.</w:t>
      </w:r>
    </w:p>
    <w:p w14:paraId="2EB29AD0" w14:textId="77777777" w:rsidR="0098530D" w:rsidRPr="00AB7CA1" w:rsidRDefault="0098530D" w:rsidP="0098530D">
      <w:pPr>
        <w:pStyle w:val="Texto"/>
        <w:spacing w:line="233" w:lineRule="exact"/>
        <w:ind w:left="2736" w:hanging="1152"/>
        <w:rPr>
          <w:lang w:val="es-ES_tradnl"/>
        </w:rPr>
      </w:pPr>
      <w:r w:rsidRPr="00AB7CA1">
        <w:rPr>
          <w:lang w:val="es-ES_tradnl"/>
        </w:rPr>
        <w:tab/>
        <w:t>Por lo tanto, en las operaciones de importación no resulta aplicable la tasa del 0% prevista en el artículo 2o.-A de la Ley del IVA, ya que si bien es cierto el artículo 25 del citado ordenamiento remite al artículo 2o.-A, dicha remisión es únicamente para identificar las mercancías que se podrán importar sin el pago del citado impuesto y no para efectos de aplicar la</w:t>
      </w:r>
      <w:r>
        <w:rPr>
          <w:lang w:val="es-ES_tradnl"/>
        </w:rPr>
        <w:t xml:space="preserve"> </w:t>
      </w:r>
      <w:r w:rsidRPr="00AB7CA1">
        <w:rPr>
          <w:lang w:val="es-ES_tradnl"/>
        </w:rPr>
        <w:t>tasa 0%.</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76DEE81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14E9E978" w14:textId="77777777" w:rsidR="0098530D" w:rsidRPr="00AB7CA1" w:rsidRDefault="0098530D" w:rsidP="00552502">
            <w:pPr>
              <w:pStyle w:val="Texto"/>
              <w:spacing w:line="233"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CAE5424" w14:textId="77777777" w:rsidR="0098530D" w:rsidRPr="00AB7CA1" w:rsidRDefault="0098530D" w:rsidP="00552502">
            <w:pPr>
              <w:pStyle w:val="Texto"/>
              <w:spacing w:line="233" w:lineRule="exact"/>
              <w:ind w:firstLine="0"/>
              <w:jc w:val="center"/>
              <w:rPr>
                <w:b/>
              </w:rPr>
            </w:pPr>
            <w:r w:rsidRPr="00AB7CA1">
              <w:rPr>
                <w:b/>
              </w:rPr>
              <w:t>Primer antecedente</w:t>
            </w:r>
          </w:p>
        </w:tc>
      </w:tr>
      <w:tr w:rsidR="0098530D" w:rsidRPr="00AB7CA1" w14:paraId="2EA45086"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07A42F8" w14:textId="77777777" w:rsidR="0098530D" w:rsidRPr="00AB7CA1" w:rsidRDefault="0098530D" w:rsidP="00552502">
            <w:pPr>
              <w:pStyle w:val="Texto"/>
              <w:spacing w:line="233" w:lineRule="exact"/>
              <w:ind w:firstLine="0"/>
            </w:pPr>
            <w:r w:rsidRPr="00AB7CA1">
              <w:t>39/2003/LA</w:t>
            </w:r>
          </w:p>
        </w:tc>
        <w:tc>
          <w:tcPr>
            <w:tcW w:w="3237" w:type="pct"/>
            <w:tcBorders>
              <w:top w:val="single" w:sz="6" w:space="0" w:color="auto"/>
              <w:left w:val="single" w:sz="6" w:space="0" w:color="auto"/>
              <w:bottom w:val="single" w:sz="6" w:space="0" w:color="auto"/>
              <w:right w:val="single" w:sz="6" w:space="0" w:color="auto"/>
            </w:tcBorders>
          </w:tcPr>
          <w:p w14:paraId="4D682019" w14:textId="77777777" w:rsidR="0098530D" w:rsidRPr="00AB7CA1" w:rsidRDefault="0098530D" w:rsidP="00552502">
            <w:pPr>
              <w:pStyle w:val="Texto"/>
              <w:spacing w:line="233" w:lineRule="exact"/>
              <w:ind w:firstLine="0"/>
            </w:pPr>
            <w:r w:rsidRPr="00AB7CA1">
              <w:t>Compilación de Criterios Normativos, Boletín Electrónico octubre 2003, Tomo III.</w:t>
            </w:r>
          </w:p>
        </w:tc>
      </w:tr>
    </w:tbl>
    <w:p w14:paraId="70B1FEAA" w14:textId="77777777" w:rsidR="0098530D" w:rsidRPr="00AB7CA1" w:rsidRDefault="0098530D" w:rsidP="0098530D">
      <w:pPr>
        <w:pStyle w:val="Texto"/>
        <w:spacing w:line="233" w:lineRule="exact"/>
        <w:ind w:left="2736" w:hanging="1152"/>
        <w:rPr>
          <w:b/>
        </w:rPr>
      </w:pPr>
    </w:p>
    <w:p w14:paraId="7783C5BA" w14:textId="77777777" w:rsidR="0098530D" w:rsidRPr="00AB7CA1" w:rsidRDefault="0098530D" w:rsidP="0098530D">
      <w:pPr>
        <w:pStyle w:val="Texto"/>
        <w:spacing w:line="233" w:lineRule="exact"/>
        <w:ind w:left="2736" w:hanging="1152"/>
        <w:rPr>
          <w:b/>
          <w:lang w:val="es-ES_tradnl"/>
        </w:rPr>
      </w:pPr>
      <w:r w:rsidRPr="00AB7CA1">
        <w:rPr>
          <w:b/>
        </w:rPr>
        <w:t>33/IVA/N</w:t>
      </w:r>
      <w:r w:rsidRPr="00AB7CA1">
        <w:rPr>
          <w:b/>
        </w:rPr>
        <w:tab/>
      </w:r>
      <w:r w:rsidRPr="00AB7CA1">
        <w:rPr>
          <w:b/>
          <w:lang w:val="es-ES_tradnl"/>
        </w:rPr>
        <w:t>Disposición aplicable para determinar las importaciones de oro por las cuales no se pagará IVA.</w:t>
      </w:r>
    </w:p>
    <w:p w14:paraId="15456815" w14:textId="77777777" w:rsidR="0098530D" w:rsidRPr="00AB7CA1" w:rsidRDefault="0098530D" w:rsidP="0098530D">
      <w:pPr>
        <w:pStyle w:val="Texto"/>
        <w:spacing w:line="233" w:lineRule="exact"/>
        <w:ind w:left="2736" w:hanging="1152"/>
        <w:rPr>
          <w:lang w:val="es-ES_tradnl"/>
        </w:rPr>
      </w:pPr>
      <w:r w:rsidRPr="00AB7CA1">
        <w:rPr>
          <w:b/>
          <w:lang w:val="es-ES_tradnl"/>
        </w:rPr>
        <w:lastRenderedPageBreak/>
        <w:tab/>
      </w:r>
      <w:r w:rsidRPr="00AB7CA1">
        <w:rPr>
          <w:lang w:val="es-ES_tradnl"/>
        </w:rPr>
        <w:t>El artículo 25, fracción III de la Ley del IVA establece que no se pagará dicho impuesto en la importación de bienes cuya enajenación en el país no dé lugar al pago del mismo o, esté afecto a la tasa del 0%.</w:t>
      </w:r>
    </w:p>
    <w:p w14:paraId="22B6BCAE" w14:textId="77777777" w:rsidR="0098530D" w:rsidRPr="00AB7CA1" w:rsidRDefault="0098530D" w:rsidP="0098530D">
      <w:pPr>
        <w:pStyle w:val="Texto"/>
        <w:spacing w:line="233" w:lineRule="exact"/>
        <w:ind w:left="2736" w:hanging="1152"/>
        <w:rPr>
          <w:lang w:val="es-ES_tradnl"/>
        </w:rPr>
      </w:pPr>
      <w:r w:rsidRPr="00AB7CA1">
        <w:rPr>
          <w:lang w:val="es-ES_tradnl"/>
        </w:rPr>
        <w:tab/>
        <w:t>Sin embargo, la tasa del 0% y la exención en las enajenaciones de oro y de productos hechos a base de oro, están condicionadas a su venta al mayoreo y no con el público en general, en el caso del artículo 2o.-A, fracción I, inciso h) de la misma ley, o a su venta al menudeo y con el público en general, conforme al artículo 9o., fracción VIII de la Ley del IVA.</w:t>
      </w:r>
    </w:p>
    <w:p w14:paraId="57712AE3" w14:textId="77777777" w:rsidR="0098530D" w:rsidRPr="00AB7CA1" w:rsidRDefault="0098530D" w:rsidP="0098530D">
      <w:pPr>
        <w:pStyle w:val="Texto"/>
        <w:spacing w:line="226" w:lineRule="exact"/>
        <w:ind w:left="2736" w:hanging="1152"/>
        <w:rPr>
          <w:lang w:val="es-ES_tradnl"/>
        </w:rPr>
      </w:pPr>
      <w:r w:rsidRPr="00AB7CA1">
        <w:rPr>
          <w:lang w:val="es-ES_tradnl"/>
        </w:rPr>
        <w:tab/>
        <w:t>Por lo que dichas condicionantes, por su propia naturaleza, son incompatibles con el concepto de importación y sólo pueden entenderse o realizarse en el caso de enajenaciones. En consecuencia, de la interpretación estricta a la ley, dichas condicionantes excluyen la aplicación del artículo 25, fracción III, en relación con el 2o.-A, fracción I, inciso h) y 9o., fracción VIII de la Ley del IVA.</w:t>
      </w:r>
    </w:p>
    <w:p w14:paraId="2B8731D7" w14:textId="77777777" w:rsidR="0098530D" w:rsidRPr="00AB7CA1" w:rsidRDefault="0098530D" w:rsidP="0098530D">
      <w:pPr>
        <w:pStyle w:val="Texto"/>
        <w:spacing w:line="226" w:lineRule="exact"/>
        <w:ind w:left="2736" w:hanging="1152"/>
        <w:rPr>
          <w:lang w:val="es-ES_tradnl"/>
        </w:rPr>
      </w:pPr>
      <w:r w:rsidRPr="00AB7CA1">
        <w:rPr>
          <w:lang w:val="es-ES_tradnl"/>
        </w:rPr>
        <w:tab/>
        <w:t>Por otra parte, la fracción VII del mencionado artículo 25, exenta la importación de oro cuyo contenido mínimo sea del 80%, sin ninguna condicionante.</w:t>
      </w:r>
    </w:p>
    <w:p w14:paraId="7C8FC3BE" w14:textId="77777777" w:rsidR="0098530D" w:rsidRPr="00AB7CA1" w:rsidRDefault="0098530D" w:rsidP="0098530D">
      <w:pPr>
        <w:pStyle w:val="Texto"/>
        <w:spacing w:line="226" w:lineRule="exact"/>
        <w:ind w:left="2736" w:hanging="1152"/>
        <w:rPr>
          <w:lang w:val="es-ES_tradnl"/>
        </w:rPr>
      </w:pPr>
      <w:r w:rsidRPr="00AB7CA1">
        <w:rPr>
          <w:lang w:val="es-ES_tradnl"/>
        </w:rPr>
        <w:tab/>
        <w:t>Por lo tanto, está exenta del IVA la importación de oro con un contenido mínimo de dicho material del 80%, de conformidad con lo previsto en el artículo 25, fracción VII de la ley, no así la importación de los demás productos previstos en los artículos 2o.-A, fracción I, inciso h) y 9o.,</w:t>
      </w:r>
      <w:r>
        <w:rPr>
          <w:lang w:val="es-ES_tradnl"/>
        </w:rPr>
        <w:t xml:space="preserve"> </w:t>
      </w:r>
      <w:r w:rsidRPr="00AB7CA1">
        <w:rPr>
          <w:lang w:val="es-ES_tradnl"/>
        </w:rPr>
        <w:t>fracción VIII, debido a que no cumplen con los requisitos indicados en el artículo 25, fracción III de la ley de la materia.</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76CCC9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32554A88" w14:textId="77777777" w:rsidR="0098530D" w:rsidRPr="00AB7CA1" w:rsidRDefault="0098530D" w:rsidP="00552502">
            <w:pPr>
              <w:pStyle w:val="Texto"/>
              <w:spacing w:line="226"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0D191CA6" w14:textId="77777777" w:rsidR="0098530D" w:rsidRPr="00AB7CA1" w:rsidRDefault="0098530D" w:rsidP="00552502">
            <w:pPr>
              <w:pStyle w:val="Texto"/>
              <w:spacing w:line="226" w:lineRule="exact"/>
              <w:ind w:firstLine="0"/>
              <w:jc w:val="center"/>
              <w:rPr>
                <w:b/>
              </w:rPr>
            </w:pPr>
            <w:r w:rsidRPr="00AB7CA1">
              <w:rPr>
                <w:b/>
              </w:rPr>
              <w:t>Primer antecedente</w:t>
            </w:r>
          </w:p>
        </w:tc>
      </w:tr>
      <w:tr w:rsidR="0098530D" w:rsidRPr="00AB7CA1" w14:paraId="66F2CD2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3F1B737" w14:textId="77777777" w:rsidR="0098530D" w:rsidRPr="00AB7CA1" w:rsidRDefault="0098530D" w:rsidP="00552502">
            <w:pPr>
              <w:pStyle w:val="Texto"/>
              <w:spacing w:line="226" w:lineRule="exact"/>
              <w:ind w:firstLine="0"/>
            </w:pPr>
            <w:r w:rsidRPr="00AB7CA1">
              <w:t>5.2.6.</w:t>
            </w:r>
          </w:p>
        </w:tc>
        <w:tc>
          <w:tcPr>
            <w:tcW w:w="3237" w:type="pct"/>
            <w:tcBorders>
              <w:top w:val="single" w:sz="6" w:space="0" w:color="auto"/>
              <w:left w:val="single" w:sz="6" w:space="0" w:color="auto"/>
              <w:bottom w:val="single" w:sz="6" w:space="0" w:color="auto"/>
              <w:right w:val="single" w:sz="6" w:space="0" w:color="auto"/>
            </w:tcBorders>
          </w:tcPr>
          <w:p w14:paraId="2B0E8436" w14:textId="77777777" w:rsidR="0098530D" w:rsidRPr="00AB7CA1" w:rsidRDefault="0098530D" w:rsidP="00552502">
            <w:pPr>
              <w:pStyle w:val="Texto"/>
              <w:spacing w:line="226" w:lineRule="exact"/>
              <w:ind w:firstLine="0"/>
            </w:pPr>
            <w:r w:rsidRPr="00AB7CA1">
              <w:t>Oficio 102-SAT-13 de 4 de julio de 1997, a través del cual se emite la Compilación de Normatividad Sustantiva de Impuestos Internos.</w:t>
            </w:r>
          </w:p>
        </w:tc>
      </w:tr>
    </w:tbl>
    <w:p w14:paraId="0BB63515" w14:textId="77777777" w:rsidR="0098530D" w:rsidRPr="00AB7CA1" w:rsidRDefault="0098530D" w:rsidP="0098530D">
      <w:pPr>
        <w:pStyle w:val="Texto"/>
        <w:spacing w:line="226" w:lineRule="exact"/>
        <w:ind w:left="2736" w:hanging="1152"/>
        <w:rPr>
          <w:b/>
        </w:rPr>
      </w:pPr>
    </w:p>
    <w:p w14:paraId="681F1229" w14:textId="77777777" w:rsidR="0098530D" w:rsidRPr="00AB7CA1" w:rsidRDefault="0098530D" w:rsidP="0098530D">
      <w:pPr>
        <w:pStyle w:val="Texto"/>
        <w:spacing w:line="226" w:lineRule="exact"/>
        <w:ind w:left="2736" w:hanging="1152"/>
        <w:rPr>
          <w:b/>
          <w:lang w:val="es-ES_tradnl"/>
        </w:rPr>
      </w:pPr>
      <w:r w:rsidRPr="00AB7CA1">
        <w:rPr>
          <w:b/>
        </w:rPr>
        <w:t>34/IVA/N</w:t>
      </w:r>
      <w:r w:rsidRPr="00AB7CA1">
        <w:rPr>
          <w:b/>
        </w:rPr>
        <w:tab/>
      </w:r>
      <w:r w:rsidRPr="00AB7CA1">
        <w:rPr>
          <w:b/>
          <w:lang w:val="es-ES_tradnl"/>
        </w:rPr>
        <w:t>Pago y acreditamiento del IVA por importaciones, cuando las actividades del importador estén gravadas a la tasa del 0%.</w:t>
      </w:r>
    </w:p>
    <w:p w14:paraId="0B089D31" w14:textId="77777777" w:rsidR="0098530D" w:rsidRPr="00AB7CA1" w:rsidRDefault="0098530D" w:rsidP="0098530D">
      <w:pPr>
        <w:pStyle w:val="Texto"/>
        <w:spacing w:line="226" w:lineRule="exact"/>
        <w:ind w:left="2736" w:hanging="1152"/>
        <w:rPr>
          <w:lang w:val="es-ES_tradnl"/>
        </w:rPr>
      </w:pPr>
      <w:r w:rsidRPr="00AB7CA1">
        <w:rPr>
          <w:b/>
          <w:lang w:val="es-ES_tradnl"/>
        </w:rPr>
        <w:tab/>
      </w:r>
      <w:r w:rsidRPr="00AB7CA1">
        <w:rPr>
          <w:lang w:val="es-ES_tradnl"/>
        </w:rPr>
        <w:t>De conformidad con los artículos 28 de la Ley del IVA y 55 de su Reglamento, tratándose de la importación de bienes tangibles, el pago tendrá el carácter de provisional y se hará conjuntamente con el del impuesto general de importación, utilizando la forma por medio de la cual se efectúe el pago de este último.</w:t>
      </w:r>
    </w:p>
    <w:p w14:paraId="648322A9" w14:textId="77777777" w:rsidR="0098530D" w:rsidRPr="00AB7CA1" w:rsidRDefault="0098530D" w:rsidP="0098530D">
      <w:pPr>
        <w:pStyle w:val="Texto"/>
        <w:spacing w:line="226" w:lineRule="exact"/>
        <w:ind w:left="2736" w:hanging="1152"/>
        <w:rPr>
          <w:lang w:val="es-ES_tradnl"/>
        </w:rPr>
      </w:pPr>
      <w:r w:rsidRPr="00AB7CA1">
        <w:rPr>
          <w:lang w:val="es-ES_tradnl"/>
        </w:rPr>
        <w:tab/>
        <w:t>Tratándose de las empresas que importan maquinaria y equipo no producidos en el país, para el desarrollo de las funciones propias de su actividad, deberán pagar el IVA que les corresponda, pudiendo acreditarlo en los términos y con los requisitos que establecen los artículos 4o. y 5o. de la ley de la materia, independientemente de que las actividades del importador se encuentren gravadas a la tasa del 0%.</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38553FE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15D5A0A3" w14:textId="77777777" w:rsidR="0098530D" w:rsidRPr="00AB7CA1" w:rsidRDefault="0098530D" w:rsidP="00552502">
            <w:pPr>
              <w:pStyle w:val="Texto"/>
              <w:spacing w:line="226"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F804EA1" w14:textId="77777777" w:rsidR="0098530D" w:rsidRPr="00AB7CA1" w:rsidRDefault="0098530D" w:rsidP="00552502">
            <w:pPr>
              <w:pStyle w:val="Texto"/>
              <w:spacing w:line="226" w:lineRule="exact"/>
              <w:ind w:firstLine="0"/>
              <w:jc w:val="center"/>
              <w:rPr>
                <w:b/>
              </w:rPr>
            </w:pPr>
            <w:r w:rsidRPr="00AB7CA1">
              <w:rPr>
                <w:b/>
              </w:rPr>
              <w:t>Primer antecedente</w:t>
            </w:r>
          </w:p>
        </w:tc>
      </w:tr>
      <w:tr w:rsidR="0098530D" w:rsidRPr="00AB7CA1" w14:paraId="698CD0D5"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981F483" w14:textId="77777777" w:rsidR="0098530D" w:rsidRPr="00AB7CA1" w:rsidRDefault="0098530D" w:rsidP="00552502">
            <w:pPr>
              <w:pStyle w:val="Texto"/>
              <w:spacing w:line="226" w:lineRule="exact"/>
              <w:ind w:firstLine="0"/>
            </w:pPr>
            <w:r w:rsidRPr="00AB7CA1">
              <w:t>V/95</w:t>
            </w:r>
          </w:p>
        </w:tc>
        <w:tc>
          <w:tcPr>
            <w:tcW w:w="3237" w:type="pct"/>
            <w:tcBorders>
              <w:top w:val="single" w:sz="6" w:space="0" w:color="auto"/>
              <w:left w:val="single" w:sz="6" w:space="0" w:color="auto"/>
              <w:bottom w:val="single" w:sz="6" w:space="0" w:color="auto"/>
              <w:right w:val="single" w:sz="6" w:space="0" w:color="auto"/>
            </w:tcBorders>
          </w:tcPr>
          <w:p w14:paraId="498E0CC5" w14:textId="77777777" w:rsidR="0098530D" w:rsidRPr="00AB7CA1" w:rsidRDefault="0098530D" w:rsidP="00552502">
            <w:pPr>
              <w:pStyle w:val="Texto"/>
              <w:spacing w:line="226" w:lineRule="exact"/>
              <w:ind w:firstLine="0"/>
            </w:pPr>
            <w:r w:rsidRPr="00AB7CA1">
              <w:t>Boletín de Normatividad 1 mayo-junio de 1995.</w:t>
            </w:r>
          </w:p>
        </w:tc>
      </w:tr>
    </w:tbl>
    <w:p w14:paraId="5A347177" w14:textId="77777777" w:rsidR="0098530D" w:rsidRPr="00AB7CA1" w:rsidRDefault="0098530D" w:rsidP="0098530D">
      <w:pPr>
        <w:pStyle w:val="Texto"/>
        <w:spacing w:line="226" w:lineRule="exact"/>
        <w:ind w:left="2736" w:hanging="1152"/>
      </w:pPr>
    </w:p>
    <w:p w14:paraId="28F1C643" w14:textId="77777777" w:rsidR="0098530D" w:rsidRPr="00AB7CA1" w:rsidRDefault="0098530D" w:rsidP="0098530D">
      <w:pPr>
        <w:pStyle w:val="Texto"/>
        <w:spacing w:line="226" w:lineRule="exact"/>
        <w:ind w:left="2736" w:hanging="1152"/>
        <w:rPr>
          <w:b/>
          <w:lang w:val="es-ES_tradnl"/>
        </w:rPr>
      </w:pPr>
      <w:r w:rsidRPr="00AB7CA1">
        <w:rPr>
          <w:b/>
        </w:rPr>
        <w:t>35/IVA/N</w:t>
      </w:r>
      <w:r w:rsidRPr="00AB7CA1">
        <w:rPr>
          <w:b/>
        </w:rPr>
        <w:tab/>
      </w:r>
      <w:r w:rsidRPr="00AB7CA1">
        <w:rPr>
          <w:b/>
          <w:lang w:val="es-ES_tradnl"/>
        </w:rPr>
        <w:t>Tasa del 0% del IVA. Resulta aplicable y no se pagará el IEPS, cuando las mercancías nacionales sean destinadas al régimen de depósito fiscal para su exposición y venta en las tiendas denominadas</w:t>
      </w:r>
      <w:r>
        <w:rPr>
          <w:b/>
          <w:lang w:val="es-ES_tradnl"/>
        </w:rPr>
        <w:t xml:space="preserve"> </w:t>
      </w:r>
      <w:r w:rsidRPr="00AB7CA1">
        <w:rPr>
          <w:b/>
          <w:lang w:val="es-ES_tradnl"/>
        </w:rPr>
        <w:t>“Duty Free”.</w:t>
      </w:r>
    </w:p>
    <w:p w14:paraId="5E4FBE9F" w14:textId="77777777" w:rsidR="0098530D" w:rsidRPr="00AB7CA1" w:rsidRDefault="0098530D" w:rsidP="0098530D">
      <w:pPr>
        <w:pStyle w:val="Texto"/>
        <w:spacing w:line="226" w:lineRule="exact"/>
        <w:ind w:left="2736" w:hanging="1152"/>
        <w:rPr>
          <w:lang w:val="es-ES_tradnl"/>
        </w:rPr>
      </w:pPr>
      <w:r w:rsidRPr="00AB7CA1">
        <w:rPr>
          <w:b/>
          <w:lang w:val="es-ES_tradnl"/>
        </w:rPr>
        <w:lastRenderedPageBreak/>
        <w:tab/>
      </w:r>
      <w:r w:rsidRPr="00AB7CA1">
        <w:rPr>
          <w:lang w:val="es-ES_tradnl"/>
        </w:rPr>
        <w:t>El artículo 29, fracción I de la Ley del IVA, dispone que las empresas residentes en el país calcularán dicho impuesto aplicando la tasa 0% al valor de la enajenación de los bienes cuando estos se exporten de manera definitiva en términos de la Ley Aduanera.</w:t>
      </w:r>
    </w:p>
    <w:p w14:paraId="3450C223" w14:textId="77777777" w:rsidR="0098530D" w:rsidRPr="00AB7CA1" w:rsidRDefault="0098530D" w:rsidP="0098530D">
      <w:pPr>
        <w:pStyle w:val="Texto"/>
        <w:spacing w:line="226" w:lineRule="exact"/>
        <w:ind w:left="2736" w:hanging="1152"/>
        <w:rPr>
          <w:lang w:val="es-ES_tradnl"/>
        </w:rPr>
      </w:pPr>
      <w:r w:rsidRPr="00AB7CA1">
        <w:rPr>
          <w:lang w:val="es-ES_tradnl"/>
        </w:rPr>
        <w:tab/>
        <w:t>El artículo 119, último párrafo de la Ley Aduanera establece que se entenderá que las mercancías nacionales fueron exportadas definitivamente cuando queden en depósito fiscal.</w:t>
      </w:r>
    </w:p>
    <w:p w14:paraId="19349388" w14:textId="77777777" w:rsidR="0098530D" w:rsidRPr="00AB7CA1" w:rsidRDefault="0098530D" w:rsidP="0098530D">
      <w:pPr>
        <w:pStyle w:val="Texto"/>
        <w:spacing w:line="226" w:lineRule="exact"/>
        <w:ind w:left="2736" w:hanging="1152"/>
        <w:rPr>
          <w:lang w:val="es-ES_tradnl"/>
        </w:rPr>
      </w:pPr>
      <w:r w:rsidRPr="00AB7CA1">
        <w:rPr>
          <w:lang w:val="es-ES_tradnl"/>
        </w:rPr>
        <w:tab/>
        <w:t>Por tanto, la mercancía nacional que sea destinada al régimen de depósito fiscal para su exposición y venta en las tiendas denominadas “Duty Free”, se sujetará a la tasa del 0% de IVA y, en su caso, no se pagará el IEPS, conforme al artículo 8o., fracción II de la Ley del IEPS.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49D1B0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110C8194" w14:textId="77777777" w:rsidR="0098530D" w:rsidRPr="00AB7CA1" w:rsidRDefault="0098530D" w:rsidP="00552502">
            <w:pPr>
              <w:pStyle w:val="Texto"/>
              <w:spacing w:after="86"/>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7D3D4F2" w14:textId="77777777" w:rsidR="0098530D" w:rsidRPr="00AB7CA1" w:rsidRDefault="0098530D" w:rsidP="00552502">
            <w:pPr>
              <w:pStyle w:val="Texto"/>
              <w:spacing w:after="86"/>
              <w:ind w:firstLine="0"/>
              <w:jc w:val="center"/>
              <w:rPr>
                <w:b/>
              </w:rPr>
            </w:pPr>
            <w:r w:rsidRPr="00AB7CA1">
              <w:rPr>
                <w:b/>
              </w:rPr>
              <w:t>Primer antecedente</w:t>
            </w:r>
          </w:p>
        </w:tc>
      </w:tr>
      <w:tr w:rsidR="0098530D" w:rsidRPr="00AB7CA1" w14:paraId="64DC7A1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A22066D" w14:textId="77777777" w:rsidR="0098530D" w:rsidRPr="00AB7CA1" w:rsidRDefault="0098530D" w:rsidP="00552502">
            <w:pPr>
              <w:pStyle w:val="Texto"/>
              <w:spacing w:after="86"/>
              <w:ind w:firstLine="0"/>
            </w:pPr>
            <w:r w:rsidRPr="00AB7CA1">
              <w:t>30/2003/IVA-IEPS</w:t>
            </w:r>
          </w:p>
        </w:tc>
        <w:tc>
          <w:tcPr>
            <w:tcW w:w="3237" w:type="pct"/>
            <w:tcBorders>
              <w:top w:val="single" w:sz="6" w:space="0" w:color="auto"/>
              <w:left w:val="single" w:sz="6" w:space="0" w:color="auto"/>
              <w:bottom w:val="single" w:sz="6" w:space="0" w:color="auto"/>
              <w:right w:val="single" w:sz="6" w:space="0" w:color="auto"/>
            </w:tcBorders>
          </w:tcPr>
          <w:p w14:paraId="265D5040" w14:textId="77777777" w:rsidR="0098530D" w:rsidRPr="00AB7CA1" w:rsidRDefault="0098530D" w:rsidP="00552502">
            <w:pPr>
              <w:pStyle w:val="Texto"/>
              <w:spacing w:after="86"/>
              <w:ind w:firstLine="0"/>
            </w:pPr>
            <w:r w:rsidRPr="00AB7CA1">
              <w:t>Compilación de Criterios Normativos, Boletín Electrónico octubre 2003, Tomo III.</w:t>
            </w:r>
          </w:p>
        </w:tc>
      </w:tr>
    </w:tbl>
    <w:p w14:paraId="7945CD0D" w14:textId="77777777" w:rsidR="0098530D" w:rsidRPr="00AB7CA1" w:rsidRDefault="0098530D" w:rsidP="0098530D">
      <w:pPr>
        <w:pStyle w:val="Texto"/>
        <w:spacing w:after="86"/>
        <w:ind w:left="2736" w:hanging="1152"/>
        <w:rPr>
          <w:b/>
        </w:rPr>
      </w:pPr>
    </w:p>
    <w:p w14:paraId="05D86B1B" w14:textId="77777777" w:rsidR="0098530D" w:rsidRPr="00AB7CA1" w:rsidRDefault="0098530D" w:rsidP="0098530D">
      <w:pPr>
        <w:pStyle w:val="Texto"/>
        <w:spacing w:after="86"/>
        <w:ind w:left="2736" w:hanging="1152"/>
        <w:rPr>
          <w:b/>
          <w:lang w:val="es-ES_tradnl"/>
        </w:rPr>
      </w:pPr>
      <w:r w:rsidRPr="00AB7CA1">
        <w:rPr>
          <w:b/>
        </w:rPr>
        <w:t>36/IVA/N</w:t>
      </w:r>
      <w:r w:rsidRPr="00AB7CA1">
        <w:rPr>
          <w:b/>
        </w:rPr>
        <w:tab/>
      </w:r>
      <w:r w:rsidRPr="00AB7CA1">
        <w:rPr>
          <w:b/>
          <w:lang w:val="es-ES_tradnl"/>
        </w:rPr>
        <w:t>Seguros. Vehículos de residentes en el extranjero que ingresan temporalmente al país.</w:t>
      </w:r>
    </w:p>
    <w:p w14:paraId="5A919631" w14:textId="77777777" w:rsidR="0098530D" w:rsidRPr="00AB7CA1" w:rsidRDefault="0098530D" w:rsidP="0098530D">
      <w:pPr>
        <w:pStyle w:val="Texto"/>
        <w:spacing w:after="86"/>
        <w:ind w:left="2736" w:hanging="1152"/>
        <w:rPr>
          <w:lang w:val="es-ES_tradnl"/>
        </w:rPr>
      </w:pPr>
      <w:r w:rsidRPr="00AB7CA1">
        <w:rPr>
          <w:b/>
          <w:lang w:val="es-ES_tradnl"/>
        </w:rPr>
        <w:tab/>
      </w:r>
      <w:r w:rsidRPr="00AB7CA1">
        <w:rPr>
          <w:lang w:val="es-ES_tradnl"/>
        </w:rPr>
        <w:t>El artículo 29, fracción IV, inciso e) de la Ley del IVA, dispone que las empresas residentes en el país, calcularán dicho impuesto aplicando la tasa del 0% al valor de la prestación de servicios cuando estos se exporten, dicha tasa es aplicable en el caso de seguros que sean prestados por residentes en el país pero que sean aprovechados en el extranjero.</w:t>
      </w:r>
    </w:p>
    <w:p w14:paraId="1E3BB629" w14:textId="77777777" w:rsidR="0098530D" w:rsidRPr="00AB7CA1" w:rsidRDefault="0098530D" w:rsidP="0098530D">
      <w:pPr>
        <w:pStyle w:val="Texto"/>
        <w:spacing w:after="86"/>
        <w:ind w:left="2736" w:hanging="1152"/>
        <w:rPr>
          <w:lang w:val="es-ES_tradnl"/>
        </w:rPr>
      </w:pPr>
      <w:r w:rsidRPr="00AB7CA1">
        <w:rPr>
          <w:lang w:val="es-ES_tradnl"/>
        </w:rPr>
        <w:tab/>
        <w:t>En el caso de servicios de cobertura de seguros en el ramo de automóviles a residentes en el extranjero que ingresan temporalmente a territorio nacional a bordo de sus vehículos, se ampara al vehículo exclusivamente durante su estancia en territorio nacional, es decir, el seguro de referencia rige sólo durante el tiempo en el que el vehículo circule en el país, y es en este tiempo cuando el asegurado recibe los beneficios.</w:t>
      </w:r>
    </w:p>
    <w:p w14:paraId="73C80CFF" w14:textId="77777777" w:rsidR="0098530D" w:rsidRPr="00AB7CA1" w:rsidRDefault="0098530D" w:rsidP="0098530D">
      <w:pPr>
        <w:pStyle w:val="Texto"/>
        <w:spacing w:after="86"/>
        <w:ind w:left="2736" w:hanging="1152"/>
      </w:pPr>
      <w:r w:rsidRPr="00AB7CA1">
        <w:rPr>
          <w:lang w:val="es-ES_tradnl"/>
        </w:rPr>
        <w:tab/>
      </w:r>
      <w:r w:rsidRPr="00AB7CA1">
        <w:t>Por tanto, no puede considerarse que exista un aprovechamiento del servicio en el extranjero, quedando en consecuencia su prestación sujeta al traslado y pago del impuesto de que se trata a la tasa del 16%, aún cuando el pago de la suma asegurada por haber ocurrido el siniestro previsto en la póliza se efectúe en el extranjero.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39E2E0B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CA78520" w14:textId="77777777" w:rsidR="0098530D" w:rsidRPr="00AB7CA1" w:rsidRDefault="0098530D" w:rsidP="00552502">
            <w:pPr>
              <w:pStyle w:val="Texto"/>
              <w:spacing w:after="86"/>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1AB0B72" w14:textId="77777777" w:rsidR="0098530D" w:rsidRPr="00AB7CA1" w:rsidRDefault="0098530D" w:rsidP="00552502">
            <w:pPr>
              <w:pStyle w:val="Texto"/>
              <w:spacing w:after="86"/>
              <w:ind w:firstLine="0"/>
              <w:jc w:val="center"/>
              <w:rPr>
                <w:b/>
              </w:rPr>
            </w:pPr>
            <w:r w:rsidRPr="00AB7CA1">
              <w:rPr>
                <w:b/>
              </w:rPr>
              <w:t>Primer antecedente</w:t>
            </w:r>
          </w:p>
        </w:tc>
      </w:tr>
      <w:tr w:rsidR="0098530D" w:rsidRPr="00AB7CA1" w14:paraId="585CF62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FD2BCB1" w14:textId="77777777" w:rsidR="0098530D" w:rsidRPr="00AB7CA1" w:rsidRDefault="0098530D" w:rsidP="00552502">
            <w:pPr>
              <w:pStyle w:val="Texto"/>
              <w:spacing w:after="86"/>
              <w:ind w:firstLine="0"/>
            </w:pPr>
            <w:r w:rsidRPr="00AB7CA1">
              <w:t>5.5.2.</w:t>
            </w:r>
          </w:p>
        </w:tc>
        <w:tc>
          <w:tcPr>
            <w:tcW w:w="3237" w:type="pct"/>
            <w:tcBorders>
              <w:top w:val="single" w:sz="6" w:space="0" w:color="auto"/>
              <w:left w:val="single" w:sz="6" w:space="0" w:color="auto"/>
              <w:bottom w:val="single" w:sz="6" w:space="0" w:color="auto"/>
              <w:right w:val="single" w:sz="6" w:space="0" w:color="auto"/>
            </w:tcBorders>
          </w:tcPr>
          <w:p w14:paraId="629DBCB2" w14:textId="77777777" w:rsidR="0098530D" w:rsidRPr="00AB7CA1" w:rsidRDefault="0098530D" w:rsidP="00552502">
            <w:pPr>
              <w:pStyle w:val="Texto"/>
              <w:spacing w:after="86"/>
              <w:ind w:firstLine="0"/>
            </w:pPr>
            <w:r w:rsidRPr="00AB7CA1">
              <w:t>Oficio 102-SAT-13 de 4 de julio de 1997, a través del cual se emite la Compilación de Normatividad Sustantiva de Impuestos Internos.</w:t>
            </w:r>
          </w:p>
        </w:tc>
      </w:tr>
    </w:tbl>
    <w:p w14:paraId="015CB2FB" w14:textId="77777777" w:rsidR="0098530D" w:rsidRPr="00AB7CA1" w:rsidRDefault="0098530D" w:rsidP="0098530D">
      <w:pPr>
        <w:pStyle w:val="Texto"/>
        <w:spacing w:after="86"/>
        <w:ind w:left="2736" w:hanging="1152"/>
        <w:rPr>
          <w:b/>
        </w:rPr>
      </w:pPr>
    </w:p>
    <w:p w14:paraId="5C4AF51D" w14:textId="77777777" w:rsidR="0098530D" w:rsidRPr="00AB7CA1" w:rsidRDefault="0098530D" w:rsidP="0098530D">
      <w:pPr>
        <w:pStyle w:val="Texto"/>
        <w:spacing w:after="86"/>
        <w:ind w:left="2736" w:hanging="1152"/>
        <w:rPr>
          <w:b/>
        </w:rPr>
      </w:pPr>
      <w:r w:rsidRPr="00AB7CA1">
        <w:rPr>
          <w:b/>
        </w:rPr>
        <w:t>37/IVA/IEPS/N</w:t>
      </w:r>
      <w:r w:rsidRPr="00AB7CA1">
        <w:rPr>
          <w:b/>
        </w:rPr>
        <w:tab/>
        <w:t xml:space="preserve"> Impuestos trasladados. Cuando el contribuyente los pague sin haber realizado el cargo o cobro correspondiente al sujeto económico, podrá obtener beneficios legales sin las exclusiones aplicables a dichos impuestos.</w:t>
      </w:r>
    </w:p>
    <w:p w14:paraId="42AA40A3" w14:textId="77777777" w:rsidR="0098530D" w:rsidRPr="00AB7CA1" w:rsidRDefault="0098530D" w:rsidP="0098530D">
      <w:pPr>
        <w:pStyle w:val="Texto"/>
        <w:spacing w:after="86"/>
        <w:ind w:left="2736" w:hanging="1152"/>
      </w:pPr>
      <w:r w:rsidRPr="00AB7CA1">
        <w:rPr>
          <w:b/>
        </w:rPr>
        <w:tab/>
      </w:r>
      <w:r w:rsidRPr="00AB7CA1">
        <w:t>El artículo 1o., tercer párrafo de la Ley del IVA, así como el artículo 19, fracción II de la Ley del IEPS, establecen la obligación de los contribuyentes a trasladar dichos impuestos, entendiendo por traslado del impuesto el cobro o cargo que el contribuyente debe hacer a las personas que adquieran los bienes, los usen o gocen temporalmente o reciban los servicios, por el monto equivalente del impuesto establecido en dichas leyes.</w:t>
      </w:r>
    </w:p>
    <w:p w14:paraId="187E901F" w14:textId="77777777" w:rsidR="0098530D" w:rsidRPr="00AB7CA1" w:rsidRDefault="0098530D" w:rsidP="0098530D">
      <w:pPr>
        <w:pStyle w:val="Texto"/>
        <w:spacing w:after="86"/>
        <w:ind w:left="2736" w:hanging="1152"/>
      </w:pPr>
      <w:r w:rsidRPr="00AB7CA1">
        <w:tab/>
        <w:t xml:space="preserve">El artículo 66, primer párrafo del CFF prevé la autorización de pago a plazos y el artículo 70-A, párrafos primero y tercero del CFF establece la reducción de multas y recargos. En ambos supuestos los beneficios no pueden otorgarse cuando se trate de contribuciones trasladadas o recaudadas, tal </w:t>
      </w:r>
      <w:r w:rsidRPr="00AB7CA1">
        <w:lastRenderedPageBreak/>
        <w:t>como lo establecen los artículos 66-A, fracción VI, inciso c), párrafo siguiente y 70-A, primer párrafo, ambos del CFF.</w:t>
      </w:r>
    </w:p>
    <w:p w14:paraId="4A6BC61C" w14:textId="77777777" w:rsidR="0098530D" w:rsidRPr="00AB7CA1" w:rsidRDefault="0098530D" w:rsidP="0098530D">
      <w:pPr>
        <w:pStyle w:val="Texto"/>
        <w:spacing w:after="86"/>
        <w:ind w:left="2736" w:hanging="1152"/>
      </w:pPr>
      <w:r w:rsidRPr="00AB7CA1">
        <w:tab/>
        <w:t>Del análisis a las disposiciones resumidas en los párrafos anteriores se desprende que los contribuyentes tienen la obligación de realizar el traslado del impuesto en los términos que establecen las propias leyes toda vez que, de no hacerlo, el pago de las contribuciones deberá realizarse directamente o con cargo al patrimonio del contribuyente.</w:t>
      </w:r>
    </w:p>
    <w:p w14:paraId="239BF9A3" w14:textId="77777777" w:rsidR="0098530D" w:rsidRPr="00AB7CA1" w:rsidRDefault="0098530D" w:rsidP="0098530D">
      <w:pPr>
        <w:pStyle w:val="Texto"/>
        <w:spacing w:after="86"/>
        <w:ind w:left="2736" w:hanging="1152"/>
      </w:pPr>
      <w:r w:rsidRPr="00AB7CA1">
        <w:tab/>
        <w:t>En tales consideraciones, el contribuyente que no traslade el impuesto correspondiente a la operación realizada, y lo pague directamente o con su patrimonio, no se encontrará impedido para solicitar la autorización de pago a plazos prevista en el artículo 66, primer párrafo del CFF y la reducción de multas y recargos señalada en el artículo 70-A, primer y tercer párrafos</w:t>
      </w:r>
      <w:r>
        <w:t xml:space="preserve"> </w:t>
      </w:r>
      <w:r w:rsidRPr="00AB7CA1">
        <w:t>del CFF.</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786E4A6"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31C4B769" w14:textId="77777777" w:rsidR="0098530D" w:rsidRPr="00AB7CA1" w:rsidRDefault="0098530D" w:rsidP="00552502">
            <w:pPr>
              <w:pStyle w:val="Texto"/>
              <w:spacing w:line="230"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2BCFEC6" w14:textId="77777777" w:rsidR="0098530D" w:rsidRPr="00AB7CA1" w:rsidRDefault="0098530D" w:rsidP="00552502">
            <w:pPr>
              <w:pStyle w:val="Texto"/>
              <w:spacing w:line="230" w:lineRule="exact"/>
              <w:ind w:firstLine="0"/>
              <w:jc w:val="center"/>
              <w:rPr>
                <w:b/>
              </w:rPr>
            </w:pPr>
            <w:r w:rsidRPr="00AB7CA1">
              <w:rPr>
                <w:b/>
              </w:rPr>
              <w:t>Primer antecedente</w:t>
            </w:r>
          </w:p>
        </w:tc>
      </w:tr>
      <w:tr w:rsidR="0098530D" w:rsidRPr="00AB7CA1" w14:paraId="415821C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5CFE6B4D" w14:textId="77777777" w:rsidR="0098530D" w:rsidRPr="00AB7CA1" w:rsidRDefault="0098530D" w:rsidP="00552502">
            <w:pPr>
              <w:pStyle w:val="Texto"/>
              <w:spacing w:line="230" w:lineRule="exact"/>
              <w:ind w:firstLine="0"/>
            </w:pPr>
            <w:r w:rsidRPr="00AB7CA1">
              <w:t>Segunda Resolución de Modificaciones a la RMF para 2015</w:t>
            </w:r>
          </w:p>
        </w:tc>
        <w:tc>
          <w:tcPr>
            <w:tcW w:w="3237" w:type="pct"/>
            <w:tcBorders>
              <w:top w:val="single" w:sz="6" w:space="0" w:color="auto"/>
              <w:left w:val="single" w:sz="6" w:space="0" w:color="auto"/>
              <w:bottom w:val="single" w:sz="6" w:space="0" w:color="auto"/>
              <w:right w:val="single" w:sz="6" w:space="0" w:color="auto"/>
            </w:tcBorders>
          </w:tcPr>
          <w:p w14:paraId="27674F40" w14:textId="77777777" w:rsidR="0098530D" w:rsidRPr="00AB7CA1" w:rsidRDefault="0098530D" w:rsidP="00552502">
            <w:pPr>
              <w:pStyle w:val="Texto"/>
              <w:spacing w:line="230" w:lineRule="exact"/>
              <w:ind w:firstLine="0"/>
            </w:pPr>
            <w:r w:rsidRPr="00AB7CA1">
              <w:t>Publicada en el DOF el 14 de mayo de 2015, Anexo 7, publicado en el DOF el 21 de mayo de 2015.</w:t>
            </w:r>
          </w:p>
        </w:tc>
      </w:tr>
    </w:tbl>
    <w:p w14:paraId="6D143C09" w14:textId="77777777" w:rsidR="0098530D" w:rsidRPr="00AB7CA1" w:rsidRDefault="0098530D" w:rsidP="0098530D">
      <w:pPr>
        <w:pStyle w:val="Texto"/>
        <w:spacing w:line="230" w:lineRule="exact"/>
        <w:ind w:left="2736" w:hanging="1152"/>
        <w:rPr>
          <w:b/>
        </w:rPr>
      </w:pPr>
    </w:p>
    <w:p w14:paraId="3C500B53" w14:textId="77777777" w:rsidR="0098530D" w:rsidRPr="00AB7CA1" w:rsidRDefault="0098530D" w:rsidP="0098530D">
      <w:pPr>
        <w:pStyle w:val="Texto"/>
        <w:spacing w:line="230" w:lineRule="exact"/>
        <w:ind w:left="2736" w:hanging="1152"/>
        <w:rPr>
          <w:b/>
        </w:rPr>
      </w:pPr>
      <w:r w:rsidRPr="00AB7CA1">
        <w:rPr>
          <w:b/>
        </w:rPr>
        <w:t>38/IVA/N</w:t>
      </w:r>
      <w:r w:rsidRPr="00AB7CA1">
        <w:rPr>
          <w:b/>
        </w:rPr>
        <w:tab/>
        <w:t>Enajenación de sal tasa aplicable en IVA.</w:t>
      </w:r>
    </w:p>
    <w:p w14:paraId="65CF31E9" w14:textId="77777777" w:rsidR="0098530D" w:rsidRPr="00AB7CA1" w:rsidRDefault="0098530D" w:rsidP="0098530D">
      <w:pPr>
        <w:pStyle w:val="Texto"/>
        <w:spacing w:line="231" w:lineRule="exact"/>
        <w:ind w:left="2736" w:hanging="1152"/>
      </w:pPr>
      <w:r w:rsidRPr="00AB7CA1">
        <w:rPr>
          <w:lang w:val="es-ES_tradnl"/>
        </w:rPr>
        <w:tab/>
        <w:t>El artículo 2o.-A, fracción I, inciso b), numeral 4 de la Ley del IVA, establece que se calculará el impuesto aplicando la tasa del 0%, a la enajenación de productos destinados a la alimentación con excepción de los aditivos alimenticios.</w:t>
      </w:r>
    </w:p>
    <w:p w14:paraId="58BAB1C7" w14:textId="77777777" w:rsidR="0098530D" w:rsidRPr="00AB7CA1" w:rsidRDefault="0098530D" w:rsidP="0098530D">
      <w:pPr>
        <w:pStyle w:val="Texto"/>
        <w:spacing w:line="231" w:lineRule="exact"/>
        <w:ind w:left="2736" w:hanging="1152"/>
        <w:rPr>
          <w:lang w:val="es-ES_tradnl"/>
        </w:rPr>
      </w:pPr>
      <w:r w:rsidRPr="00AB7CA1">
        <w:rPr>
          <w:lang w:val="es-ES_tradnl"/>
        </w:rPr>
        <w:tab/>
        <w:t>Por su parte, el criterio normativo 10/IVA/N Productos destinados a la alimentación humana y animal, establece que se entiende por productos destinados a la alimentación, tratándose de aditivos, aquellos que, sin requerir transformación o industrialización adicional, se ingieren como tales por humanos o animales para su alimentación, aunque al prepararse por el consumidor final se cuezan o combinen con otros productos destinados a la alimentación.</w:t>
      </w:r>
    </w:p>
    <w:p w14:paraId="0D42FBFC" w14:textId="77777777" w:rsidR="0098530D" w:rsidRPr="00AB7CA1" w:rsidRDefault="0098530D" w:rsidP="0098530D">
      <w:pPr>
        <w:pStyle w:val="Texto"/>
        <w:spacing w:line="231" w:lineRule="exact"/>
        <w:ind w:left="2736" w:hanging="1152"/>
        <w:rPr>
          <w:lang w:val="es-ES_tradnl"/>
        </w:rPr>
      </w:pPr>
      <w:r w:rsidRPr="00AB7CA1">
        <w:rPr>
          <w:lang w:val="es-ES_tradnl"/>
        </w:rPr>
        <w:tab/>
        <w:t>Según sus características se define a la sal, como un producto constituido por cloruro de sodio y que proviene exclusivamente de fuentes naturales.</w:t>
      </w:r>
    </w:p>
    <w:p w14:paraId="5DC99A1C" w14:textId="77777777" w:rsidR="0098530D" w:rsidRPr="00AB7CA1" w:rsidRDefault="0098530D" w:rsidP="0098530D">
      <w:pPr>
        <w:pStyle w:val="Texto"/>
        <w:spacing w:line="231" w:lineRule="exact"/>
        <w:ind w:left="2736" w:hanging="1152"/>
        <w:rPr>
          <w:lang w:val="es-ES_tradnl"/>
        </w:rPr>
      </w:pPr>
      <w:r w:rsidRPr="00AB7CA1">
        <w:rPr>
          <w:lang w:val="es-ES_tradnl"/>
        </w:rPr>
        <w:tab/>
        <w:t>En ese sentido, la sal no obstante de ser un aditivo alimenticio, es un producto destinado a la alimentación que puede consumirse por humanos o animales de manera directa o combinada con otros productos destinados a la alimentación, y por tanto su enajenación en territorio nacional está gravada a la tasa del 0% del IVA, independientemente de que el adquiriente la utilice en alguna industria diversa a la alimenticia.</w:t>
      </w:r>
    </w:p>
    <w:p w14:paraId="1A29FA6B" w14:textId="77777777" w:rsidR="0098530D" w:rsidRPr="00AB7CA1" w:rsidRDefault="0098530D" w:rsidP="0098530D">
      <w:pPr>
        <w:pStyle w:val="Texto"/>
        <w:spacing w:line="231" w:lineRule="exact"/>
        <w:ind w:left="2736" w:hanging="1152"/>
        <w:rPr>
          <w:lang w:val="es-ES_tradnl"/>
        </w:rPr>
      </w:pPr>
      <w:r w:rsidRPr="00AB7CA1">
        <w:rPr>
          <w:lang w:val="es-ES_tradnl"/>
        </w:rPr>
        <w:tab/>
        <w:t>Este criterio no aplica a la sal para uso industrial no alimenticio prevista en el artículo 3.28 de la NOM-040-SSA1-1993.</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99B7FE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77890F8" w14:textId="77777777" w:rsidR="0098530D" w:rsidRPr="00AB7CA1" w:rsidRDefault="0098530D" w:rsidP="00552502">
            <w:pPr>
              <w:pStyle w:val="Texto"/>
              <w:spacing w:line="231"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475E597A" w14:textId="77777777" w:rsidR="0098530D" w:rsidRPr="00AB7CA1" w:rsidRDefault="0098530D" w:rsidP="00552502">
            <w:pPr>
              <w:pStyle w:val="Texto"/>
              <w:spacing w:line="231" w:lineRule="exact"/>
              <w:ind w:firstLine="0"/>
              <w:jc w:val="center"/>
              <w:rPr>
                <w:b/>
              </w:rPr>
            </w:pPr>
            <w:r w:rsidRPr="00AB7CA1">
              <w:rPr>
                <w:b/>
              </w:rPr>
              <w:t>Primer antecedente</w:t>
            </w:r>
          </w:p>
        </w:tc>
      </w:tr>
      <w:tr w:rsidR="0098530D" w:rsidRPr="00AB7CA1" w14:paraId="1FFA3F20"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2D878270" w14:textId="77777777" w:rsidR="0098530D" w:rsidRPr="00AB7CA1" w:rsidRDefault="0098530D" w:rsidP="00552502">
            <w:pPr>
              <w:pStyle w:val="Texto"/>
              <w:spacing w:line="231" w:lineRule="exact"/>
              <w:ind w:firstLine="0"/>
            </w:pPr>
            <w:r w:rsidRPr="00AB7CA1">
              <w:t>RMF para 2018</w:t>
            </w:r>
          </w:p>
        </w:tc>
        <w:tc>
          <w:tcPr>
            <w:tcW w:w="3237" w:type="pct"/>
            <w:tcBorders>
              <w:top w:val="single" w:sz="6" w:space="0" w:color="auto"/>
              <w:left w:val="single" w:sz="6" w:space="0" w:color="auto"/>
              <w:bottom w:val="single" w:sz="6" w:space="0" w:color="auto"/>
              <w:right w:val="single" w:sz="6" w:space="0" w:color="auto"/>
            </w:tcBorders>
          </w:tcPr>
          <w:p w14:paraId="42A3C646" w14:textId="77777777" w:rsidR="0098530D" w:rsidRPr="00AB7CA1" w:rsidRDefault="0098530D" w:rsidP="00552502">
            <w:pPr>
              <w:pStyle w:val="Texto"/>
              <w:spacing w:line="231" w:lineRule="exact"/>
              <w:ind w:firstLine="0"/>
            </w:pPr>
            <w:r w:rsidRPr="00AB7CA1">
              <w:t>Publicada en el DOF el 22 de diciembre de 2017, Anexo 7, publicado en el DOF el 29 de diciembre de 2017.</w:t>
            </w:r>
          </w:p>
        </w:tc>
      </w:tr>
    </w:tbl>
    <w:p w14:paraId="5E548457" w14:textId="77777777" w:rsidR="0098530D" w:rsidRPr="00AB7CA1" w:rsidRDefault="0098530D" w:rsidP="0098530D">
      <w:pPr>
        <w:pStyle w:val="Texto"/>
        <w:spacing w:line="231" w:lineRule="exact"/>
        <w:ind w:left="2736" w:hanging="1152"/>
        <w:rPr>
          <w:b/>
        </w:rPr>
      </w:pPr>
    </w:p>
    <w:p w14:paraId="6B65F603" w14:textId="77777777" w:rsidR="0098530D" w:rsidRPr="00AB7CA1" w:rsidRDefault="0098530D" w:rsidP="0098530D">
      <w:pPr>
        <w:pStyle w:val="Texto"/>
        <w:spacing w:line="231" w:lineRule="exact"/>
        <w:ind w:left="2736" w:hanging="1152"/>
        <w:rPr>
          <w:b/>
        </w:rPr>
      </w:pPr>
      <w:r w:rsidRPr="00AB7CA1">
        <w:rPr>
          <w:b/>
        </w:rPr>
        <w:t>39/IVA/N</w:t>
      </w:r>
      <w:r w:rsidRPr="00AB7CA1">
        <w:rPr>
          <w:b/>
        </w:rPr>
        <w:tab/>
        <w:t>Rollos de película o acolchados plásticos. No son herbicidas ni plaguicidas.</w:t>
      </w:r>
    </w:p>
    <w:p w14:paraId="419BCD52" w14:textId="77777777" w:rsidR="0098530D" w:rsidRPr="00AB7CA1" w:rsidRDefault="0098530D" w:rsidP="0098530D">
      <w:pPr>
        <w:pStyle w:val="Texto"/>
        <w:spacing w:line="231" w:lineRule="exact"/>
        <w:ind w:left="2736" w:hanging="1152"/>
        <w:rPr>
          <w:lang w:val="es-ES_tradnl"/>
        </w:rPr>
      </w:pPr>
      <w:r w:rsidRPr="00AB7CA1">
        <w:rPr>
          <w:lang w:val="es-ES_tradnl"/>
        </w:rPr>
        <w:tab/>
        <w:t xml:space="preserve">El artículo 2o.-A, fracción I, inciso f), de la Ley del IVA, establece que se aplicará la tasa del 0% del impuesto en la enajenación de herbicidas, entre </w:t>
      </w:r>
      <w:r w:rsidRPr="00AB7CA1">
        <w:rPr>
          <w:lang w:val="es-ES_tradnl"/>
        </w:rPr>
        <w:lastRenderedPageBreak/>
        <w:t>otros productos, siempre que estén destinados para ser utilizados en la agricultura.</w:t>
      </w:r>
    </w:p>
    <w:p w14:paraId="1120A2ED" w14:textId="77777777" w:rsidR="0098530D" w:rsidRPr="00AB7CA1" w:rsidRDefault="0098530D" w:rsidP="0098530D">
      <w:pPr>
        <w:pStyle w:val="Texto"/>
        <w:spacing w:line="231" w:lineRule="exact"/>
        <w:ind w:left="2736" w:hanging="1152"/>
        <w:rPr>
          <w:lang w:val="es-ES_tradnl"/>
        </w:rPr>
      </w:pPr>
      <w:r w:rsidRPr="00AB7CA1">
        <w:rPr>
          <w:lang w:val="es-ES_tradnl"/>
        </w:rPr>
        <w:tab/>
        <w:t>El artículo 5o., primer párrafo del CFF, establece que las disposiciones fiscales que establezcan cargas a los particulares son de aplicación estricta, considerando que establecen cargas las normas que se refieren al sujeto, objeto, base, tasa o tarifa.</w:t>
      </w:r>
    </w:p>
    <w:p w14:paraId="2C17134C" w14:textId="77777777" w:rsidR="0098530D" w:rsidRPr="00AB7CA1" w:rsidRDefault="0098530D" w:rsidP="0098530D">
      <w:pPr>
        <w:pStyle w:val="Texto"/>
        <w:spacing w:line="231" w:lineRule="exact"/>
        <w:ind w:left="2736" w:hanging="1152"/>
        <w:rPr>
          <w:lang w:val="es-ES_tradnl"/>
        </w:rPr>
      </w:pPr>
      <w:r w:rsidRPr="00AB7CA1">
        <w:rPr>
          <w:lang w:val="es-ES_tradnl"/>
        </w:rPr>
        <w:tab/>
        <w:t>El numeral 2.4 de la Norma Oficial Mexicana “NOM-033-FITO-1995 publicada en el DOF el 24 de junio de 1996, por la que se establecen los requisitos y especificaciones fitosanitarias para el aviso de inicio de funcionamiento que deberán cumplir las personas físicas o morales interesadas en comercializar plaguicidas agrícolas”, establece que un plaguicida es un “insumo fitosanitario destinado a prevenir, repeler, combatir y destruir a los organismos biológicos nocivos a los vegetales, tales como: insecticidas, fungicidas, herbicidas, acaricidas, molusquicidas, nematicidas y rodenticidas”.</w:t>
      </w:r>
    </w:p>
    <w:p w14:paraId="0C4C231A" w14:textId="77777777" w:rsidR="0098530D" w:rsidRPr="00AB7CA1" w:rsidRDefault="0098530D" w:rsidP="0098530D">
      <w:pPr>
        <w:pStyle w:val="Texto"/>
        <w:spacing w:after="80" w:line="214" w:lineRule="exact"/>
        <w:ind w:left="2736" w:hanging="1152"/>
        <w:rPr>
          <w:lang w:val="es-ES_tradnl"/>
        </w:rPr>
      </w:pPr>
      <w:r w:rsidRPr="00AB7CA1">
        <w:rPr>
          <w:lang w:val="es-ES_tradnl"/>
        </w:rPr>
        <w:tab/>
        <w:t>El Reglamento en Materia de Registros, Autorizaciones de Importación y Exportación y Certificados de Exportación de Plaguicidas, Nutrientes Vegetales y Sustancias y Materiales Tóxicos o Peligrosos, publicado en el DOF el 28 de diciembre de 2004 y modificado mediante Decreto publicado en el mismo órgano de difusión oficial el 13 de febrero de 2014, en el artículo 2, fracciones XXXVIII y XLI, establece las siguientes definiciones:</w:t>
      </w:r>
    </w:p>
    <w:p w14:paraId="5FEB63C7" w14:textId="77777777" w:rsidR="0098530D" w:rsidRPr="00AB7CA1" w:rsidRDefault="0098530D" w:rsidP="0098530D">
      <w:pPr>
        <w:pStyle w:val="Texto"/>
        <w:spacing w:after="80" w:line="214" w:lineRule="exact"/>
        <w:ind w:left="2736" w:hanging="1152"/>
        <w:rPr>
          <w:lang w:val="es-ES_tradnl"/>
        </w:rPr>
      </w:pPr>
      <w:r w:rsidRPr="00AB7CA1">
        <w:rPr>
          <w:lang w:val="es-ES_tradnl"/>
        </w:rPr>
        <w:tab/>
        <w:t>“XXXVIII. Plaguicida, cualquier sustancia o mezcla de sustancias que se destine a controlar cualquier plaga, incluidos los vectores que transmiten las enfermedades humanas y de animales, las especies no deseadas que causen perjuicio o que interfieran con la producción agropecuaria y forestal, así como las substancias defoliantes y las desecantes”;</w:t>
      </w:r>
    </w:p>
    <w:p w14:paraId="645FA022" w14:textId="77777777" w:rsidR="0098530D" w:rsidRPr="00AB7CA1" w:rsidRDefault="0098530D" w:rsidP="0098530D">
      <w:pPr>
        <w:pStyle w:val="Texto"/>
        <w:spacing w:after="80" w:line="214" w:lineRule="exact"/>
        <w:ind w:left="2736" w:hanging="1152"/>
        <w:rPr>
          <w:lang w:val="es-ES_tradnl"/>
        </w:rPr>
      </w:pPr>
      <w:r w:rsidRPr="00AB7CA1">
        <w:rPr>
          <w:lang w:val="es-ES_tradnl"/>
        </w:rPr>
        <w:tab/>
        <w:t>“XLI. Plaguicida de uso agrícola, el plaguicida formulado de uso directo en vegetales que se destina a prevenir, repeler, combatir y destruir los organismos biológicos nocivos a estos”.</w:t>
      </w:r>
    </w:p>
    <w:p w14:paraId="438F2632" w14:textId="77777777" w:rsidR="0098530D" w:rsidRPr="00AB7CA1" w:rsidRDefault="0098530D" w:rsidP="0098530D">
      <w:pPr>
        <w:pStyle w:val="Texto"/>
        <w:spacing w:after="80" w:line="215" w:lineRule="exact"/>
        <w:ind w:left="2736" w:hanging="1152"/>
        <w:rPr>
          <w:lang w:val="es-ES_tradnl"/>
        </w:rPr>
      </w:pPr>
      <w:r w:rsidRPr="00AB7CA1">
        <w:rPr>
          <w:lang w:val="es-ES_tradnl"/>
        </w:rPr>
        <w:tab/>
        <w:t>Por otra parte, existen en el mercado rollos de película o acolchados plásticos que son productos sintéticos consistentes en una película de polietileno de baja densidad y polietileno lineal de baja densidad que se utilizan, entre otras funciones, como técnica de cultivo para cubrir el suelo y protegerlo de los agentes atmosféricos, actuando como una barrera física que se extiende sobre las líneas de cultivo o surcos, lo cual bloquea los rayos solares para impedir el desarrollo de la maleza, evita la evaporación de la humedad y reduce los cambios de temperatura, con lo que se obtienen mejores resultados en las cosechas, ya que al incrementar la temperatura del suelo permite un tiempo de cosecha menor y aumentan el rendimiento de la superficie cosechada, mejoran la aireación del suelo, optimizan el rendimiento de los fertilizantes, los plaguicidas y del agua de riego, reduciendo la cantidad necesaria de los mismos, entre otros usos.</w:t>
      </w:r>
    </w:p>
    <w:p w14:paraId="65B930F1" w14:textId="77777777" w:rsidR="0098530D" w:rsidRPr="00AB7CA1" w:rsidRDefault="0098530D" w:rsidP="0098530D">
      <w:pPr>
        <w:pStyle w:val="Texto"/>
        <w:spacing w:after="80" w:line="215" w:lineRule="exact"/>
        <w:ind w:left="2736" w:hanging="1152"/>
        <w:rPr>
          <w:lang w:val="es-ES_tradnl"/>
        </w:rPr>
      </w:pPr>
      <w:r w:rsidRPr="00AB7CA1">
        <w:rPr>
          <w:lang w:val="es-ES_tradnl"/>
        </w:rPr>
        <w:tab/>
        <w:t>Conforme a lo expuesto, se desprende que un herbicida es una especie o categoría de plaguicida, y un plaguicida de uso agrícola tiene como elemento esencial sustancia o mezcla de sustancias que se destinan a prevenir, repeler, combatir y destruir los organismos biológicos nocivos a los vegetales, en tanto que conforme a la descripción de los rollos de película o acolchados plásticos, se trata de un plástico que sirve de barrera física que impide la transmisión de rayos solares, por lo que su naturaleza es distinta a la de los herbicidas, ya que no se trata de sustancia o mezcla de sustancias que destruyan organismos biológicos o cumplan con los demás fines mencionados con antelación, razón por la cual no quedan comprendidos en la definición genérica de plaguicida, ni dentro de la especifica de herbicida.</w:t>
      </w:r>
    </w:p>
    <w:p w14:paraId="0C977328" w14:textId="77777777" w:rsidR="0098530D" w:rsidRDefault="0098530D" w:rsidP="0098530D">
      <w:pPr>
        <w:pStyle w:val="Texto"/>
        <w:spacing w:after="80" w:line="215" w:lineRule="exact"/>
        <w:ind w:left="2736" w:hanging="1152"/>
        <w:rPr>
          <w:lang w:val="es-ES_tradnl"/>
        </w:rPr>
      </w:pPr>
      <w:r w:rsidRPr="00AB7CA1">
        <w:rPr>
          <w:lang w:val="es-ES_tradnl"/>
        </w:rPr>
        <w:tab/>
        <w:t xml:space="preserve">Por lo tanto, la enajenación de rollos de película o acolchados de plástico para uso agrícola, se encuentra afecta a la tasa general del IVA, por no </w:t>
      </w:r>
      <w:r w:rsidRPr="00AB7CA1">
        <w:rPr>
          <w:lang w:val="es-ES_tradnl"/>
        </w:rPr>
        <w:lastRenderedPageBreak/>
        <w:t>ubicarse en el supuesto a que se refiere el artículo 2o.-A, fracción I, inciso f), de la Ley del IVA.</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4B21906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92984B3" w14:textId="77777777" w:rsidR="0098530D" w:rsidRPr="00AB7CA1" w:rsidRDefault="0098530D" w:rsidP="00552502">
            <w:pPr>
              <w:pStyle w:val="Texto"/>
              <w:spacing w:after="80" w:line="215"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8D47F39" w14:textId="77777777" w:rsidR="0098530D" w:rsidRPr="00AB7CA1" w:rsidRDefault="0098530D" w:rsidP="00552502">
            <w:pPr>
              <w:pStyle w:val="Texto"/>
              <w:spacing w:after="80" w:line="215" w:lineRule="exact"/>
              <w:ind w:firstLine="0"/>
              <w:jc w:val="center"/>
              <w:rPr>
                <w:b/>
              </w:rPr>
            </w:pPr>
            <w:r w:rsidRPr="00AB7CA1">
              <w:rPr>
                <w:b/>
              </w:rPr>
              <w:t>Primer antecedente</w:t>
            </w:r>
          </w:p>
        </w:tc>
      </w:tr>
      <w:tr w:rsidR="0098530D" w:rsidRPr="00AB7CA1" w14:paraId="4D4B394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1AD0845" w14:textId="77777777" w:rsidR="0098530D" w:rsidRPr="00AB7CA1" w:rsidRDefault="0098530D" w:rsidP="00552502">
            <w:pPr>
              <w:pStyle w:val="Texto"/>
              <w:spacing w:after="80" w:line="215" w:lineRule="exact"/>
              <w:ind w:firstLine="0"/>
            </w:pPr>
            <w:r w:rsidRPr="00AB7CA1">
              <w:t>Tercera Resolución de Modificaciones a la RMF para 2018</w:t>
            </w:r>
          </w:p>
        </w:tc>
        <w:tc>
          <w:tcPr>
            <w:tcW w:w="3237" w:type="pct"/>
            <w:tcBorders>
              <w:top w:val="single" w:sz="6" w:space="0" w:color="auto"/>
              <w:left w:val="single" w:sz="6" w:space="0" w:color="auto"/>
              <w:bottom w:val="single" w:sz="6" w:space="0" w:color="auto"/>
              <w:right w:val="single" w:sz="6" w:space="0" w:color="auto"/>
            </w:tcBorders>
          </w:tcPr>
          <w:p w14:paraId="462324E5" w14:textId="77777777" w:rsidR="0098530D" w:rsidRPr="00AB7CA1" w:rsidRDefault="0098530D" w:rsidP="00552502">
            <w:pPr>
              <w:pStyle w:val="Texto"/>
              <w:spacing w:after="80" w:line="215" w:lineRule="exact"/>
              <w:ind w:firstLine="0"/>
            </w:pPr>
            <w:r w:rsidRPr="00AB7CA1">
              <w:t>Publicada en el DOF el 19 de octubre de 2018, Anexo 7, publicado en la misma fecha de la Modificación.</w:t>
            </w:r>
          </w:p>
        </w:tc>
      </w:tr>
    </w:tbl>
    <w:p w14:paraId="59E09189" w14:textId="77777777" w:rsidR="0098530D" w:rsidRPr="00AB7CA1" w:rsidRDefault="0098530D" w:rsidP="0098530D">
      <w:pPr>
        <w:pStyle w:val="Texto"/>
        <w:spacing w:after="80" w:line="215" w:lineRule="exact"/>
        <w:ind w:left="2736" w:hanging="1152"/>
        <w:rPr>
          <w:b/>
          <w:lang w:val="es-ES_tradnl"/>
        </w:rPr>
      </w:pPr>
    </w:p>
    <w:p w14:paraId="173C1894" w14:textId="77777777" w:rsidR="0098530D" w:rsidRDefault="0098530D" w:rsidP="0098530D">
      <w:pPr>
        <w:pStyle w:val="Texto"/>
        <w:spacing w:after="80" w:line="215" w:lineRule="exact"/>
        <w:ind w:left="2736" w:hanging="1152"/>
        <w:rPr>
          <w:b/>
        </w:rPr>
      </w:pPr>
      <w:r w:rsidRPr="00AB7CA1">
        <w:rPr>
          <w:b/>
          <w:lang w:val="es-ES_tradnl"/>
        </w:rPr>
        <w:t>40/IVA/N</w:t>
      </w:r>
      <w:r w:rsidRPr="00AB7CA1">
        <w:rPr>
          <w:b/>
          <w:lang w:val="es-ES_tradnl"/>
        </w:rPr>
        <w:tab/>
      </w:r>
      <w:bookmarkStart w:id="2" w:name="N_Hlk179533093"/>
      <w:r w:rsidRPr="00AB7CA1">
        <w:rPr>
          <w:b/>
        </w:rPr>
        <w:t>Servicios Digitales. Definición de servicios de intermediación para los efectos de lo dispuesto en el artículo 18-B, fracción II de la Ley del IVA.</w:t>
      </w:r>
    </w:p>
    <w:p w14:paraId="77879724" w14:textId="77777777" w:rsidR="0098530D" w:rsidRPr="00AB7CA1" w:rsidRDefault="0098530D" w:rsidP="0098530D">
      <w:pPr>
        <w:pStyle w:val="Texto"/>
        <w:spacing w:after="80" w:line="215" w:lineRule="exact"/>
        <w:ind w:left="2736" w:hanging="1152"/>
      </w:pPr>
      <w:r>
        <w:tab/>
      </w:r>
      <w:r w:rsidRPr="00AB7CA1">
        <w:t>El artículo 18-B de la Ley del IVA, dispone que únicamente se consideran servicios digitales los establecidos en dicho precepto legal, cuando estos son proporcionados mediante aplicaciones o contenidos en formato digital a través de Internet u otra red, fundamentalmente automatizados, pudiendo o no requerir una intervención humana mínima, siempre que por los mismos se cobre una contraprestación.</w:t>
      </w:r>
    </w:p>
    <w:p w14:paraId="27BE34D1" w14:textId="77777777" w:rsidR="0098530D" w:rsidRPr="00AB7CA1" w:rsidRDefault="0098530D" w:rsidP="0098530D">
      <w:pPr>
        <w:pStyle w:val="Texto"/>
        <w:spacing w:after="80" w:line="215" w:lineRule="exact"/>
        <w:ind w:left="2736" w:hanging="1152"/>
      </w:pPr>
      <w:r>
        <w:tab/>
      </w:r>
      <w:r w:rsidRPr="00AB7CA1">
        <w:t>Por su parte, el artículo 18-B, fracción II de la Ley del IVA, precisa como servicio digital los de intermediación entre terceros que sean oferentes de bienes o servicios y los demandantes de los mismos.</w:t>
      </w:r>
    </w:p>
    <w:p w14:paraId="46FD0FC4" w14:textId="77777777" w:rsidR="0098530D" w:rsidRPr="00AB7CA1" w:rsidRDefault="0098530D" w:rsidP="0098530D">
      <w:pPr>
        <w:pStyle w:val="Texto"/>
        <w:spacing w:after="80" w:line="210" w:lineRule="exact"/>
        <w:ind w:left="2736" w:hanging="1152"/>
      </w:pPr>
      <w:r>
        <w:tab/>
      </w:r>
      <w:r w:rsidRPr="00AB7CA1">
        <w:t>La legislación fiscal actualmente no define el concepto de servicio digital de intermediación; sin embargo, conforme a lo señalado en la exposición de motivos de la iniciativa que dio origen al régimen de prestación de servicios digitales, se estableció que para el caso de dichos servicios de intermediación entre terceros que son, por un lado, oferentes de bienes o servicios y, por otro, los demandantes de dicha oferta, el elemento común es que el prestador del servicio de intermediación contrata con el vendedor del bien o el prestador de servicios, ofertar los bienes y servicios a través de su página de Internet, aplicación u otra red digital y, en algunos casos cobrar por su cuenta el precio correspondiente a quien adquiere el bien o contrata el servicio, obteniendo por ello una comisión.</w:t>
      </w:r>
    </w:p>
    <w:p w14:paraId="7552A3DF" w14:textId="77777777" w:rsidR="0098530D" w:rsidRPr="00AB7CA1" w:rsidRDefault="0098530D" w:rsidP="0098530D">
      <w:pPr>
        <w:pStyle w:val="Texto"/>
        <w:spacing w:after="80" w:line="210" w:lineRule="exact"/>
        <w:ind w:left="2736" w:hanging="1152"/>
      </w:pPr>
      <w:r>
        <w:tab/>
      </w:r>
      <w:r w:rsidRPr="00AB7CA1">
        <w:t>En este sentido, para los efectos del artículo 18-B, fracción II de la Ley del IVA, una persona física o moral presta servicios digitales de intermediación cuando usa o habilita una aplicación o cualquier otra red digital para que, mediante la interacción entre dos o más clientes o participantes (generalmente demandantes y oferentes), estos expresen su consentimiento para enajenar y adquirir un bien, prestar y recibir un servicio u otorgar y recibir el uso o goce temporal de un bien, que se caracteriza por que tanto los demandantes como los oferentes que interactúan, son usuarios de plataformas digitales y los oferentes contratan los servicios con el prestador de servicios de intermediación, con el objeto o fin de que estos acuerden la enajenación de un bien, la prestación de un servicio o el uso o goce temporal de un bien, a cambio de un precio o contraprestación.</w:t>
      </w:r>
    </w:p>
    <w:p w14:paraId="7E65A1C3" w14:textId="77777777" w:rsidR="0098530D" w:rsidRPr="00AB7CA1" w:rsidRDefault="0098530D" w:rsidP="0098530D">
      <w:pPr>
        <w:pStyle w:val="Texto"/>
        <w:spacing w:after="80" w:line="210" w:lineRule="exact"/>
        <w:ind w:left="2736" w:hanging="1152"/>
      </w:pPr>
      <w:r>
        <w:tab/>
      </w:r>
      <w:r w:rsidRPr="00AB7CA1">
        <w:t>Por lo anterior, de una interpretación armónica y teleológica de las disposiciones fiscales en materia de servicios digitales, se considera que las plataformas digitales prestan servicios de intermediación cuando a cambio del pago de un precio o una contraprestación, ofrezcan o permitan a través de su página de Internet, de su aplicación o cualquier otra red digital, que sus clientes oferten a terceros, bienes o servicios y, que dichos oferentes y demandantes acuerden a través de la plataforma digital las condiciones de dichas operaciones y el precio o contraprestación de las mismas.</w:t>
      </w:r>
    </w:p>
    <w:p w14:paraId="1BFBAA81" w14:textId="77777777" w:rsidR="0098530D" w:rsidRPr="00AB7CA1" w:rsidRDefault="0098530D" w:rsidP="0098530D">
      <w:pPr>
        <w:pStyle w:val="Texto"/>
        <w:spacing w:after="80" w:line="210" w:lineRule="exact"/>
        <w:ind w:left="2736" w:hanging="1152"/>
      </w:pPr>
      <w:r>
        <w:tab/>
      </w:r>
      <w:r w:rsidRPr="00AB7CA1">
        <w:t>Lo anterior, se actualiza aún en los casos en que las plataformas digitales que prestan los servicios digitales de intermediación manifiesten:</w:t>
      </w:r>
    </w:p>
    <w:p w14:paraId="20C8E9A9" w14:textId="77777777" w:rsidR="0098530D" w:rsidRPr="00AB7CA1" w:rsidRDefault="0098530D" w:rsidP="0098530D">
      <w:pPr>
        <w:pStyle w:val="Texto"/>
        <w:spacing w:after="80" w:line="210" w:lineRule="exact"/>
        <w:ind w:left="3312" w:hanging="576"/>
      </w:pPr>
      <w:r w:rsidRPr="00AB7CA1">
        <w:rPr>
          <w:b/>
        </w:rPr>
        <w:t>I.</w:t>
      </w:r>
      <w:r w:rsidRPr="00AB7CA1">
        <w:tab/>
        <w:t>Que únicamente constituyen tiendas en línea (página de Internet, aplicación u otra red digital), no obstante que, además de ofertar y enajenar bienes de su propiedad o prestar servicios directamente a demandantes de bienes y servicios a través de dichas tiendas, ponen en contacto a otros oferentes de bienes o servicios con los demandantes de los mismos, o</w:t>
      </w:r>
    </w:p>
    <w:p w14:paraId="56B8C738" w14:textId="77777777" w:rsidR="0098530D" w:rsidRPr="00AB7CA1" w:rsidRDefault="0098530D" w:rsidP="0098530D">
      <w:pPr>
        <w:pStyle w:val="Texto"/>
        <w:spacing w:after="80" w:line="210" w:lineRule="exact"/>
        <w:ind w:left="3312" w:hanging="576"/>
      </w:pPr>
      <w:r w:rsidRPr="00AB7CA1">
        <w:rPr>
          <w:b/>
        </w:rPr>
        <w:lastRenderedPageBreak/>
        <w:t>II.</w:t>
      </w:r>
      <w:r w:rsidRPr="00AB7CA1">
        <w:tab/>
        <w:t>Que los servicios o bienes ofertados son responsabilidad exclusiva de los oferentes de estos y que dichas plataformas no intervienen en la negociación, fijación del precio y condiciones del servicio, ostentándose únicamente como agregadores en línea, empresas de redes de transporte o cualquier otra denominación.</w:t>
      </w:r>
    </w:p>
    <w:p w14:paraId="09BF8C7C" w14:textId="77777777" w:rsidR="0098530D" w:rsidRPr="00AB7CA1" w:rsidRDefault="0098530D" w:rsidP="0098530D">
      <w:pPr>
        <w:pStyle w:val="Texto"/>
        <w:spacing w:after="80" w:line="210" w:lineRule="exact"/>
        <w:ind w:left="2736" w:hanging="1152"/>
      </w:pPr>
      <w:r>
        <w:tab/>
      </w:r>
      <w:r w:rsidRPr="00AB7CA1">
        <w:t>En este sentido, cualquier plataforma digital que preste servicios digitales de intermediación para que, a través de su página de Internet, de su aplicación o cualquier otra red digital, los oferentes de bienes o servicios acuerden o contraten con demandantes de los mismos las condiciones y precios o contraprestaciones de los servicios o bienes ofrecidos, se considera que presta servicios de intermediación entre terceros, en términos del artículo 18-B, fracción II de la Ley del IVA y, por lo tanto, dichas plataformas de servicios digitales de intermediación, deberán cumplir con las obligaciones previstas en el Capítulo III BIS y el artículo 1-A BIS de la Ley del IVA y del Título IV, Capitulo II, Sección III de la Ley del ISR, incluyendo las de efectuar retenciones de los impuestos, cuando así resulte procedente en los términos de las disposiciones fiscales mencionadas.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0F26A72"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bookmarkEnd w:id="2"/>
          <w:p w14:paraId="147D1C0F" w14:textId="77777777" w:rsidR="0098530D" w:rsidRPr="00AB7CA1" w:rsidRDefault="0098530D" w:rsidP="00552502">
            <w:pPr>
              <w:pStyle w:val="Texto"/>
              <w:spacing w:after="80" w:line="210"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1EAA28F8" w14:textId="77777777" w:rsidR="0098530D" w:rsidRPr="00AB7CA1" w:rsidRDefault="0098530D" w:rsidP="00552502">
            <w:pPr>
              <w:pStyle w:val="Texto"/>
              <w:spacing w:after="80" w:line="210" w:lineRule="exact"/>
              <w:ind w:firstLine="0"/>
              <w:jc w:val="center"/>
              <w:rPr>
                <w:b/>
              </w:rPr>
            </w:pPr>
            <w:r w:rsidRPr="00AB7CA1">
              <w:rPr>
                <w:b/>
              </w:rPr>
              <w:t>Primer antecedente</w:t>
            </w:r>
          </w:p>
        </w:tc>
      </w:tr>
      <w:tr w:rsidR="0098530D" w:rsidRPr="00AB7CA1" w14:paraId="1FF9B02C"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EEA3B4D" w14:textId="77777777" w:rsidR="0098530D" w:rsidRPr="00AB7CA1" w:rsidRDefault="0098530D" w:rsidP="00552502">
            <w:pPr>
              <w:pStyle w:val="Texto"/>
              <w:spacing w:after="80" w:line="210" w:lineRule="exact"/>
              <w:ind w:firstLine="0"/>
            </w:pPr>
            <w:r w:rsidRPr="00AB7CA1">
              <w:t>RMF para 2024</w:t>
            </w:r>
          </w:p>
        </w:tc>
        <w:tc>
          <w:tcPr>
            <w:tcW w:w="3237" w:type="pct"/>
            <w:tcBorders>
              <w:top w:val="single" w:sz="6" w:space="0" w:color="auto"/>
              <w:left w:val="single" w:sz="6" w:space="0" w:color="auto"/>
              <w:bottom w:val="single" w:sz="6" w:space="0" w:color="auto"/>
              <w:right w:val="single" w:sz="6" w:space="0" w:color="auto"/>
            </w:tcBorders>
          </w:tcPr>
          <w:p w14:paraId="2AF1F967" w14:textId="77777777" w:rsidR="0098530D" w:rsidRPr="00AB7CA1" w:rsidRDefault="0098530D" w:rsidP="00552502">
            <w:pPr>
              <w:pStyle w:val="Texto"/>
              <w:spacing w:after="80" w:line="210" w:lineRule="exact"/>
              <w:ind w:firstLine="0"/>
            </w:pPr>
            <w:r w:rsidRPr="00AB7CA1">
              <w:t>Publicada en el DOF el 29 de diciembre de 2023, Anexo 7, publicado el 05 de enero de 2024.</w:t>
            </w:r>
          </w:p>
        </w:tc>
      </w:tr>
    </w:tbl>
    <w:p w14:paraId="48E853F6" w14:textId="77777777" w:rsidR="0098530D" w:rsidRDefault="0098530D" w:rsidP="0098530D">
      <w:pPr>
        <w:pStyle w:val="Texto"/>
        <w:spacing w:line="235" w:lineRule="exact"/>
        <w:ind w:left="1584" w:hanging="720"/>
        <w:rPr>
          <w:b/>
        </w:rPr>
      </w:pPr>
      <w:r w:rsidRPr="00AB7CA1">
        <w:rPr>
          <w:b/>
        </w:rPr>
        <w:t>IV.</w:t>
      </w:r>
      <w:r w:rsidRPr="00AB7CA1">
        <w:rPr>
          <w:b/>
        </w:rPr>
        <w:tab/>
        <w:t>Criterios de la Ley del IEPS</w:t>
      </w:r>
    </w:p>
    <w:p w14:paraId="13E9E541" w14:textId="77777777" w:rsidR="0098530D" w:rsidRPr="00AB7CA1" w:rsidRDefault="0098530D" w:rsidP="0098530D">
      <w:pPr>
        <w:pStyle w:val="Texto"/>
        <w:spacing w:line="235" w:lineRule="exact"/>
        <w:ind w:left="2736" w:hanging="1152"/>
        <w:rPr>
          <w:b/>
          <w:lang w:val="es-ES_tradnl"/>
        </w:rPr>
      </w:pPr>
      <w:r w:rsidRPr="00AB7CA1">
        <w:rPr>
          <w:b/>
        </w:rPr>
        <w:t>1/IEPS/N</w:t>
      </w:r>
      <w:r w:rsidRPr="00AB7CA1">
        <w:rPr>
          <w:b/>
        </w:rPr>
        <w:tab/>
      </w:r>
      <w:r w:rsidRPr="00AB7CA1">
        <w:rPr>
          <w:b/>
          <w:lang w:val="es-ES_tradnl"/>
        </w:rPr>
        <w:t>Enajenaciones subsecuentes de alcohol o alcohol desnaturalizado. Las personas que las efectúan, son contribuyentes del IEPS.</w:t>
      </w:r>
    </w:p>
    <w:p w14:paraId="0F0C9CC6" w14:textId="77777777" w:rsidR="0098530D" w:rsidRPr="00AB7CA1" w:rsidRDefault="0098530D" w:rsidP="0098530D">
      <w:pPr>
        <w:pStyle w:val="Texto"/>
        <w:spacing w:line="235" w:lineRule="exact"/>
        <w:ind w:left="2736" w:hanging="1152"/>
        <w:rPr>
          <w:lang w:val="es-ES_tradnl"/>
        </w:rPr>
      </w:pPr>
      <w:r w:rsidRPr="00AB7CA1">
        <w:rPr>
          <w:b/>
          <w:lang w:val="es-ES_tradnl"/>
        </w:rPr>
        <w:tab/>
      </w:r>
      <w:r w:rsidRPr="00AB7CA1">
        <w:rPr>
          <w:lang w:val="es-ES_tradnl"/>
        </w:rPr>
        <w:t>El artículo 1o. de la Ley del IEPS dispone que están obligadas al pago del impuesto, las personas físicas y las morales que en territorio nacional enajenen los bienes señalados en dicha ley.</w:t>
      </w:r>
    </w:p>
    <w:p w14:paraId="71E70735" w14:textId="77777777" w:rsidR="0098530D" w:rsidRPr="00AB7CA1" w:rsidRDefault="0098530D" w:rsidP="0098530D">
      <w:pPr>
        <w:pStyle w:val="Texto"/>
        <w:spacing w:line="235" w:lineRule="exact"/>
        <w:ind w:left="2736" w:hanging="1152"/>
        <w:rPr>
          <w:lang w:val="es-ES_tradnl"/>
        </w:rPr>
      </w:pPr>
      <w:r w:rsidRPr="00AB7CA1">
        <w:rPr>
          <w:lang w:val="es-ES_tradnl"/>
        </w:rPr>
        <w:tab/>
        <w:t>Al respecto el artículo 2o., fracción I, inciso B) de la misma ley, señala que en el caso de enajenación o, en su caso, de importación de alcohol, alcohol desnaturalizado y mieles incristalizables se aplicará la tasa del 50%.</w:t>
      </w:r>
    </w:p>
    <w:p w14:paraId="470C6DB2" w14:textId="77777777" w:rsidR="0098530D" w:rsidRPr="00AB7CA1" w:rsidRDefault="0098530D" w:rsidP="0098530D">
      <w:pPr>
        <w:pStyle w:val="Texto"/>
        <w:spacing w:line="235" w:lineRule="exact"/>
        <w:ind w:left="2736" w:hanging="1152"/>
        <w:rPr>
          <w:lang w:val="es-ES_tradnl"/>
        </w:rPr>
      </w:pPr>
      <w:r w:rsidRPr="00AB7CA1">
        <w:rPr>
          <w:lang w:val="es-ES_tradnl"/>
        </w:rPr>
        <w:tab/>
        <w:t>Bajo este esquema, conforme a los artículos 1o. y 2o. fracción I, inciso B) de la ley en cita, quienes efectúen la enajenación de alcohol o alcohol desnaturalizado con el fin de comercializarlos, son contribuyentes del IEPS, en virtud de que la ley de referencia no establece que únicamente se gravará la primera enajenación de dichos productos, por lo que las enajenaciones subsecuentes causan dicho impuesto.</w:t>
      </w:r>
    </w:p>
    <w:p w14:paraId="42D91FCE" w14:textId="77777777" w:rsidR="0098530D" w:rsidRPr="00AB7CA1" w:rsidRDefault="0098530D" w:rsidP="0098530D">
      <w:pPr>
        <w:pStyle w:val="Texto"/>
        <w:spacing w:line="235" w:lineRule="exact"/>
        <w:ind w:left="2736" w:hanging="1152"/>
      </w:pPr>
      <w:r w:rsidRPr="00AB7CA1">
        <w:rPr>
          <w:lang w:val="es-ES_tradnl"/>
        </w:rPr>
        <w:tab/>
      </w:r>
      <w:r w:rsidRPr="00AB7CA1">
        <w:t>Lo anterior es sin perjuicio de que dichas enajenaciones estén exentas cuando los contribuyentes cumplan con las obligaciones establecidas en el inciso e) de la fracción I del artículo 8o. de la Ley citada que les resulten aplicables.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558BE1E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1EA5E905" w14:textId="77777777" w:rsidR="0098530D" w:rsidRPr="00AB7CA1" w:rsidRDefault="0098530D" w:rsidP="00552502">
            <w:pPr>
              <w:pStyle w:val="Texto"/>
              <w:spacing w:line="235"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DE92DB8" w14:textId="77777777" w:rsidR="0098530D" w:rsidRPr="00AB7CA1" w:rsidRDefault="0098530D" w:rsidP="00552502">
            <w:pPr>
              <w:pStyle w:val="Texto"/>
              <w:spacing w:line="235" w:lineRule="exact"/>
              <w:ind w:firstLine="0"/>
              <w:jc w:val="center"/>
              <w:rPr>
                <w:b/>
              </w:rPr>
            </w:pPr>
            <w:r w:rsidRPr="00AB7CA1">
              <w:rPr>
                <w:b/>
              </w:rPr>
              <w:t>Primer antecedente</w:t>
            </w:r>
          </w:p>
        </w:tc>
      </w:tr>
      <w:tr w:rsidR="0098530D" w:rsidRPr="00AB7CA1" w14:paraId="32F7EC9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2674B7D" w14:textId="77777777" w:rsidR="0098530D" w:rsidRPr="00AB7CA1" w:rsidRDefault="0098530D" w:rsidP="00552502">
            <w:pPr>
              <w:pStyle w:val="Texto"/>
              <w:spacing w:line="235" w:lineRule="exact"/>
              <w:ind w:firstLine="0"/>
            </w:pPr>
            <w:r w:rsidRPr="00AB7CA1">
              <w:t>139/2004/IEPS</w:t>
            </w:r>
          </w:p>
        </w:tc>
        <w:tc>
          <w:tcPr>
            <w:tcW w:w="3237" w:type="pct"/>
            <w:tcBorders>
              <w:top w:val="single" w:sz="6" w:space="0" w:color="auto"/>
              <w:left w:val="single" w:sz="6" w:space="0" w:color="auto"/>
              <w:bottom w:val="single" w:sz="6" w:space="0" w:color="auto"/>
              <w:right w:val="single" w:sz="6" w:space="0" w:color="auto"/>
            </w:tcBorders>
          </w:tcPr>
          <w:p w14:paraId="7FC7E70D" w14:textId="77777777" w:rsidR="0098530D" w:rsidRPr="00AB7CA1" w:rsidRDefault="0098530D" w:rsidP="00552502">
            <w:pPr>
              <w:pStyle w:val="Texto"/>
              <w:spacing w:line="235" w:lineRule="exact"/>
              <w:ind w:firstLine="0"/>
            </w:pPr>
            <w:r w:rsidRPr="00AB7CA1">
              <w:t>Oficio 325-SAT-IV-B-92423 de 17 de diciembre de 2004, mediante el cual se emite la Primera Modificación a la compilación de criterios normativos, Boletín 2004.</w:t>
            </w:r>
          </w:p>
        </w:tc>
      </w:tr>
    </w:tbl>
    <w:p w14:paraId="6C3D057F" w14:textId="77777777" w:rsidR="0098530D" w:rsidRPr="00AB7CA1" w:rsidRDefault="0098530D" w:rsidP="0098530D">
      <w:pPr>
        <w:pStyle w:val="Texto"/>
        <w:spacing w:line="235" w:lineRule="exact"/>
        <w:rPr>
          <w:b/>
        </w:rPr>
      </w:pPr>
    </w:p>
    <w:p w14:paraId="7C08B765" w14:textId="77777777" w:rsidR="0098530D" w:rsidRPr="00AB7CA1" w:rsidRDefault="0098530D" w:rsidP="0098530D">
      <w:pPr>
        <w:pStyle w:val="Texto"/>
        <w:spacing w:line="235" w:lineRule="exact"/>
        <w:ind w:left="2736" w:hanging="1152"/>
        <w:rPr>
          <w:b/>
        </w:rPr>
      </w:pPr>
      <w:r w:rsidRPr="00AB7CA1">
        <w:rPr>
          <w:b/>
        </w:rPr>
        <w:t>2/IEPS/N</w:t>
      </w:r>
      <w:r w:rsidRPr="00AB7CA1">
        <w:rPr>
          <w:b/>
        </w:rPr>
        <w:tab/>
        <w:t>Plaguicidas. Acreditamiento de la categoría de peligro de toxicidad aguda de los plaguicidas.</w:t>
      </w:r>
    </w:p>
    <w:p w14:paraId="75708B02" w14:textId="77777777" w:rsidR="0098530D" w:rsidRPr="00AB7CA1" w:rsidRDefault="0098530D" w:rsidP="0098530D">
      <w:pPr>
        <w:pStyle w:val="Texto"/>
        <w:spacing w:line="235" w:lineRule="exact"/>
        <w:ind w:left="2736" w:hanging="1152"/>
      </w:pPr>
      <w:r w:rsidRPr="00AB7CA1">
        <w:rPr>
          <w:b/>
        </w:rPr>
        <w:tab/>
      </w:r>
      <w:r w:rsidRPr="00AB7CA1">
        <w:t xml:space="preserve">Los artículos 1o., fracción I y 2o., fracción I, inciso I) de la Ley del IEPS disponen que están obligadas al pago del impuesto las personas físicas y las morales que, entre otros supuestos, enajenen o importen plaguicidas y que </w:t>
      </w:r>
      <w:r w:rsidRPr="00AB7CA1">
        <w:lastRenderedPageBreak/>
        <w:t>la tasa o, en su caso, la exención del impuesto respectiva se aplicará conforme a la categoría de peligro de toxicidad aguda que se determinará conforme a la tabla que establece el propio inciso I).</w:t>
      </w:r>
    </w:p>
    <w:p w14:paraId="7991CC86" w14:textId="77777777" w:rsidR="0098530D" w:rsidRPr="00AB7CA1" w:rsidRDefault="0098530D" w:rsidP="0098530D">
      <w:pPr>
        <w:pStyle w:val="Texto"/>
        <w:spacing w:line="235" w:lineRule="exact"/>
        <w:ind w:left="2736" w:hanging="1152"/>
      </w:pPr>
      <w:r w:rsidRPr="00AB7CA1">
        <w:tab/>
        <w:t>El tercer párrafo del inciso en comento señala que la aplicación de dicha tabla se sujetará a la Norma Oficial Mexicana “NOM-232-SSA1-2009, Plaguicidas: que establece los requisitos del envase, embalaje y etiquetado de productos grado técnico y para uso agrícola, forestal, pecuario, jardinería, urbano, industrial y doméstico”, publicada en el DOF el 13 de abril de 2010, emitida por la autoridad competente.</w:t>
      </w:r>
    </w:p>
    <w:p w14:paraId="69603A2C" w14:textId="77777777" w:rsidR="0098530D" w:rsidRPr="00AB7CA1" w:rsidRDefault="0098530D" w:rsidP="0098530D">
      <w:pPr>
        <w:pStyle w:val="Texto"/>
        <w:spacing w:line="235" w:lineRule="exact"/>
        <w:ind w:left="2736" w:hanging="1152"/>
      </w:pPr>
      <w:r w:rsidRPr="00AB7CA1">
        <w:tab/>
        <w:t>La Comisión Federal para la Protección contra Riesgos Sanitarios es la autoridad competente para emitir el registro sanitario y para expedir el permiso de importación en donde se expresa la categoría de peligro de toxicidad aguda, categoría toxicológica según lo señalado en dicha norma, en relación con el Reglamento en Materia de Registros, Autorizaciones de Importación y Exportación y Certificados de Exportación de Plaguicidas, Nutrientes Vegetales y Sustancias y Materiales Tóxicos o Peligrosos.</w:t>
      </w:r>
    </w:p>
    <w:p w14:paraId="2BA48FD0" w14:textId="77777777" w:rsidR="0098530D" w:rsidRPr="00AB7CA1" w:rsidRDefault="0098530D" w:rsidP="0098530D">
      <w:pPr>
        <w:pStyle w:val="Texto"/>
        <w:spacing w:line="235" w:lineRule="exact"/>
        <w:ind w:left="2736" w:hanging="1152"/>
      </w:pPr>
      <w:r w:rsidRPr="00AB7CA1">
        <w:tab/>
        <w:t>Por lo tanto, para determinar la tasa del impuesto aplicable o, en su caso, la exención del impuesto en la enajenación de plaguicidas en territorio nacional, así como en su importación, la categoría de peligro de toxicidad aguda se acredita con el registro sanitario vigente y, en su caso, con el permiso de importación, ambos expedidos por dicha Comisión.</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51FBC72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32DF2A1" w14:textId="77777777" w:rsidR="0098530D" w:rsidRPr="00AB7CA1" w:rsidRDefault="0098530D" w:rsidP="00552502">
            <w:pPr>
              <w:pStyle w:val="Texto"/>
              <w:spacing w:after="80"/>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74C2030C" w14:textId="77777777" w:rsidR="0098530D" w:rsidRPr="00AB7CA1" w:rsidRDefault="0098530D" w:rsidP="00552502">
            <w:pPr>
              <w:pStyle w:val="Texto"/>
              <w:spacing w:after="80"/>
              <w:ind w:firstLine="0"/>
              <w:jc w:val="center"/>
              <w:rPr>
                <w:b/>
              </w:rPr>
            </w:pPr>
            <w:r w:rsidRPr="00AB7CA1">
              <w:rPr>
                <w:b/>
              </w:rPr>
              <w:t>Primer antecedente</w:t>
            </w:r>
          </w:p>
        </w:tc>
      </w:tr>
      <w:tr w:rsidR="0098530D" w:rsidRPr="00AB7CA1" w14:paraId="2796709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3146E00" w14:textId="77777777" w:rsidR="0098530D" w:rsidRPr="00AB7CA1" w:rsidRDefault="0098530D" w:rsidP="00552502">
            <w:pPr>
              <w:pStyle w:val="Texto"/>
              <w:spacing w:after="80"/>
              <w:ind w:firstLine="0"/>
            </w:pPr>
            <w:r w:rsidRPr="00AB7CA1">
              <w:t>2014</w:t>
            </w:r>
          </w:p>
        </w:tc>
        <w:tc>
          <w:tcPr>
            <w:tcW w:w="3237" w:type="pct"/>
            <w:tcBorders>
              <w:top w:val="single" w:sz="6" w:space="0" w:color="auto"/>
              <w:left w:val="single" w:sz="6" w:space="0" w:color="auto"/>
              <w:bottom w:val="single" w:sz="6" w:space="0" w:color="auto"/>
              <w:right w:val="single" w:sz="6" w:space="0" w:color="auto"/>
            </w:tcBorders>
          </w:tcPr>
          <w:p w14:paraId="01CCC461" w14:textId="77777777" w:rsidR="0098530D" w:rsidRPr="00AB7CA1" w:rsidRDefault="0098530D" w:rsidP="00552502">
            <w:pPr>
              <w:pStyle w:val="Texto"/>
              <w:spacing w:after="80"/>
              <w:ind w:firstLine="0"/>
            </w:pPr>
            <w:r w:rsidRPr="00AB7CA1">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2/2014/IEPS.</w:t>
            </w:r>
          </w:p>
        </w:tc>
      </w:tr>
    </w:tbl>
    <w:p w14:paraId="51692E6A" w14:textId="77777777" w:rsidR="0098530D" w:rsidRPr="00AB7CA1" w:rsidRDefault="0098530D" w:rsidP="0098530D">
      <w:pPr>
        <w:pStyle w:val="Texto"/>
        <w:spacing w:after="80"/>
        <w:ind w:left="2736" w:hanging="1152"/>
        <w:rPr>
          <w:b/>
        </w:rPr>
      </w:pPr>
    </w:p>
    <w:p w14:paraId="4B266AC7" w14:textId="77777777" w:rsidR="0098530D" w:rsidRPr="00AB7CA1" w:rsidRDefault="0098530D" w:rsidP="0098530D">
      <w:pPr>
        <w:pStyle w:val="Texto"/>
        <w:spacing w:after="80"/>
        <w:ind w:left="2736" w:hanging="1152"/>
        <w:rPr>
          <w:b/>
          <w:lang w:val="es-ES_tradnl"/>
        </w:rPr>
      </w:pPr>
      <w:r w:rsidRPr="00AB7CA1">
        <w:rPr>
          <w:b/>
        </w:rPr>
        <w:t>3/IEPS/N</w:t>
      </w:r>
      <w:r w:rsidRPr="00AB7CA1">
        <w:rPr>
          <w:b/>
        </w:rPr>
        <w:tab/>
      </w:r>
      <w:r w:rsidRPr="00AB7CA1">
        <w:rPr>
          <w:b/>
          <w:lang w:val="es-ES_tradnl"/>
        </w:rPr>
        <w:t>Base gravable del IEPS. No debe ser considerado el derecho de trámite aduanero exento.</w:t>
      </w:r>
    </w:p>
    <w:p w14:paraId="1BDB3F11" w14:textId="77777777" w:rsidR="0098530D" w:rsidRPr="00AB7CA1" w:rsidRDefault="0098530D" w:rsidP="0098530D">
      <w:pPr>
        <w:pStyle w:val="Texto"/>
        <w:spacing w:after="80"/>
        <w:ind w:left="2736" w:hanging="1152"/>
        <w:rPr>
          <w:lang w:val="es-ES_tradnl"/>
        </w:rPr>
      </w:pPr>
      <w:r w:rsidRPr="00AB7CA1">
        <w:rPr>
          <w:b/>
          <w:lang w:val="es-ES_tradnl"/>
        </w:rPr>
        <w:tab/>
      </w:r>
      <w:r w:rsidRPr="00AB7CA1">
        <w:rPr>
          <w:lang w:val="es-ES_tradnl"/>
        </w:rPr>
        <w:t>El artículo 14 de la Ley del IEPS establece que tratándose de importación de bienes, para calcular el impuesto, se considerará el valor que se utilice para los fines del impuesto general de importación, adicionado con el monto de las contribuciones y aprovechamientos que se tengan que pagar con motivo de la importación, a excepción del IVA.</w:t>
      </w:r>
    </w:p>
    <w:p w14:paraId="450F42CC" w14:textId="77777777" w:rsidR="0098530D" w:rsidRPr="00AB7CA1" w:rsidRDefault="0098530D" w:rsidP="0098530D">
      <w:pPr>
        <w:pStyle w:val="Texto"/>
        <w:spacing w:after="80"/>
        <w:ind w:left="2736" w:hanging="1152"/>
        <w:rPr>
          <w:lang w:val="es-ES_tradnl"/>
        </w:rPr>
      </w:pPr>
      <w:r w:rsidRPr="00AB7CA1">
        <w:rPr>
          <w:lang w:val="es-ES_tradnl"/>
        </w:rPr>
        <w:tab/>
        <w:t>Por consiguiente, para determinar la base gravable del IEPS a la importación, si por virtud de un tratado internacional se exenta a los contribuyentes del pago del derecho de trámite aduanero, el monto de dicha exención no debe ser adicionado al valor de las mercancías que se importan.</w:t>
      </w:r>
    </w:p>
    <w:p w14:paraId="75825ADB" w14:textId="77777777" w:rsidR="0098530D" w:rsidRPr="00AB7CA1" w:rsidRDefault="0098530D" w:rsidP="0098530D">
      <w:pPr>
        <w:pStyle w:val="Texto"/>
        <w:spacing w:after="80"/>
        <w:ind w:left="2736" w:hanging="1152"/>
        <w:rPr>
          <w:lang w:val="es-ES_tradnl"/>
        </w:rPr>
      </w:pPr>
      <w:r w:rsidRPr="00AB7CA1">
        <w:rPr>
          <w:lang w:val="es-ES_tradnl"/>
        </w:rPr>
        <w:tab/>
        <w:t>Lo anterior, toda vez que de conformidad con lo establecido en el artículo 5o. del CFF, las disposiciones fiscales que se refieran a la base del impuesto, son de aplicación estricta.</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48F7315"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4E48017" w14:textId="77777777" w:rsidR="0098530D" w:rsidRPr="00AB7CA1" w:rsidRDefault="0098530D" w:rsidP="00552502">
            <w:pPr>
              <w:pStyle w:val="Texto"/>
              <w:spacing w:after="80"/>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D12C7FF" w14:textId="77777777" w:rsidR="0098530D" w:rsidRPr="00AB7CA1" w:rsidRDefault="0098530D" w:rsidP="00552502">
            <w:pPr>
              <w:pStyle w:val="Texto"/>
              <w:spacing w:after="80"/>
              <w:ind w:firstLine="0"/>
              <w:jc w:val="center"/>
              <w:rPr>
                <w:b/>
              </w:rPr>
            </w:pPr>
            <w:r w:rsidRPr="00AB7CA1">
              <w:rPr>
                <w:b/>
              </w:rPr>
              <w:t>Primer antecedente</w:t>
            </w:r>
          </w:p>
        </w:tc>
      </w:tr>
      <w:tr w:rsidR="0098530D" w:rsidRPr="00AB7CA1" w14:paraId="7572D8A2"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E3EA068" w14:textId="77777777" w:rsidR="0098530D" w:rsidRPr="00AB7CA1" w:rsidRDefault="0098530D" w:rsidP="00552502">
            <w:pPr>
              <w:pStyle w:val="Texto"/>
              <w:spacing w:after="80"/>
              <w:ind w:firstLine="0"/>
            </w:pPr>
            <w:r w:rsidRPr="00AB7CA1">
              <w:t>21/2002/IEPS</w:t>
            </w:r>
          </w:p>
        </w:tc>
        <w:tc>
          <w:tcPr>
            <w:tcW w:w="3237" w:type="pct"/>
            <w:tcBorders>
              <w:top w:val="single" w:sz="6" w:space="0" w:color="auto"/>
              <w:left w:val="single" w:sz="6" w:space="0" w:color="auto"/>
              <w:bottom w:val="single" w:sz="6" w:space="0" w:color="auto"/>
              <w:right w:val="single" w:sz="6" w:space="0" w:color="auto"/>
            </w:tcBorders>
          </w:tcPr>
          <w:p w14:paraId="139C7CF7" w14:textId="77777777" w:rsidR="0098530D" w:rsidRPr="00AB7CA1" w:rsidRDefault="0098530D" w:rsidP="00552502">
            <w:pPr>
              <w:pStyle w:val="Texto"/>
              <w:spacing w:after="80"/>
              <w:ind w:firstLine="0"/>
            </w:pPr>
            <w:r w:rsidRPr="00AB7CA1">
              <w:t>Oficio 325-SAT-A-31676 de 24 de mayo de 2002.</w:t>
            </w:r>
          </w:p>
        </w:tc>
      </w:tr>
    </w:tbl>
    <w:p w14:paraId="51EDB4F0" w14:textId="77777777" w:rsidR="0098530D" w:rsidRPr="00AB7CA1" w:rsidRDefault="0098530D" w:rsidP="0098530D">
      <w:pPr>
        <w:pStyle w:val="Texto"/>
        <w:spacing w:after="80"/>
        <w:ind w:left="2736" w:hanging="1152"/>
        <w:rPr>
          <w:b/>
        </w:rPr>
      </w:pPr>
    </w:p>
    <w:p w14:paraId="27433F38" w14:textId="77777777" w:rsidR="0098530D" w:rsidRPr="00AB7CA1" w:rsidRDefault="0098530D" w:rsidP="0098530D">
      <w:pPr>
        <w:pStyle w:val="Texto"/>
        <w:spacing w:after="80"/>
        <w:ind w:left="2736" w:hanging="1152"/>
        <w:rPr>
          <w:b/>
        </w:rPr>
      </w:pPr>
      <w:r w:rsidRPr="00AB7CA1">
        <w:rPr>
          <w:b/>
        </w:rPr>
        <w:t>4/IEPS/N</w:t>
      </w:r>
      <w:r w:rsidRPr="00AB7CA1">
        <w:rPr>
          <w:b/>
        </w:rPr>
        <w:tab/>
        <w:t>Concepto de leche para efectos del IEPS.</w:t>
      </w:r>
    </w:p>
    <w:p w14:paraId="59DD0DA0" w14:textId="77777777" w:rsidR="0098530D" w:rsidRPr="00AB7CA1" w:rsidRDefault="0098530D" w:rsidP="0098530D">
      <w:pPr>
        <w:pStyle w:val="Texto"/>
        <w:spacing w:after="80"/>
        <w:ind w:left="2736" w:hanging="1152"/>
      </w:pPr>
      <w:r w:rsidRPr="00AB7CA1">
        <w:rPr>
          <w:b/>
        </w:rPr>
        <w:tab/>
      </w:r>
      <w:r w:rsidRPr="00AB7CA1">
        <w:t xml:space="preserve">El artículo 2o., fracción I, inciso G) de la Ley del IEPS, establece que en la enajenación o, en su caso, en la importación de bebidas saborizadas que </w:t>
      </w:r>
      <w:r w:rsidRPr="00AB7CA1">
        <w:lastRenderedPageBreak/>
        <w:t>contengan cualquier tipo de azúcares añadidos, se aplicará la cuota por litro que corresponda.</w:t>
      </w:r>
    </w:p>
    <w:p w14:paraId="10609B81" w14:textId="77777777" w:rsidR="0098530D" w:rsidRPr="00AB7CA1" w:rsidRDefault="0098530D" w:rsidP="0098530D">
      <w:pPr>
        <w:pStyle w:val="Texto"/>
        <w:spacing w:after="80"/>
        <w:ind w:left="2736" w:hanging="1152"/>
      </w:pPr>
      <w:r w:rsidRPr="00AB7CA1">
        <w:tab/>
        <w:t>Por su parte, el artículo 8o., fracción I, inciso f) de la citada Ley, establece que no se pagará dicho impuesto por la enajenación de, entre otros productos, la leche en cualquier presentación, incluyendo la que esté mezclada con grasa vegetal.</w:t>
      </w:r>
    </w:p>
    <w:p w14:paraId="653A5850" w14:textId="77777777" w:rsidR="0098530D" w:rsidRPr="00AB7CA1" w:rsidRDefault="0098530D" w:rsidP="0098530D">
      <w:pPr>
        <w:pStyle w:val="Texto"/>
        <w:spacing w:after="80"/>
        <w:ind w:left="2736" w:hanging="1152"/>
      </w:pPr>
      <w:r w:rsidRPr="00AB7CA1">
        <w:tab/>
        <w:t>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exención a que se refiere el artículo 8o., fracción I, inciso f) de la Ley del IEPS, se entiende por leche:</w:t>
      </w:r>
    </w:p>
    <w:p w14:paraId="0A5AD49A" w14:textId="77777777" w:rsidR="0098530D" w:rsidRPr="00AB7CA1" w:rsidRDefault="0098530D" w:rsidP="0098530D">
      <w:pPr>
        <w:pStyle w:val="Texto"/>
        <w:spacing w:after="80"/>
        <w:ind w:left="3312" w:hanging="576"/>
      </w:pPr>
      <w:r w:rsidRPr="00AB7CA1">
        <w:rPr>
          <w:b/>
        </w:rPr>
        <w:t>I.</w:t>
      </w:r>
      <w:r w:rsidRPr="00AB7CA1">
        <w:rPr>
          <w:b/>
        </w:rPr>
        <w:tab/>
      </w:r>
      <w:r w:rsidRPr="00AB7CA1">
        <w:t>La secreción natural de las glándulas mamarias de las vacas o de cualquier otra especie animal, excluido el calostro, que cumplan con la regulación sanitaria y comercial que les sea aplicable.</w:t>
      </w:r>
    </w:p>
    <w:p w14:paraId="599ABBC3" w14:textId="77777777" w:rsidR="0098530D" w:rsidRPr="00AB7CA1" w:rsidRDefault="0098530D" w:rsidP="0098530D">
      <w:pPr>
        <w:pStyle w:val="Texto"/>
        <w:spacing w:after="80"/>
        <w:ind w:left="3312" w:hanging="576"/>
      </w:pPr>
      <w:r w:rsidRPr="00AB7CA1">
        <w:tab/>
        <w:t>Con base en lo anterior, quedan comprendidas las leches en sus diversas denominaciones comerciales, incluida la saborizada, siempre y cuando cumplan con las especificaciones que</w:t>
      </w:r>
      <w:r>
        <w:t xml:space="preserve"> </w:t>
      </w:r>
      <w:r w:rsidRPr="00AB7CA1">
        <w:t>establecen las Normas Oficiales Mexicanas “NOM-155-SCFI-2012, Leche-Denominaciones, especificaciones fisicoquímicas, información comercial y métodos de prueba” y la</w:t>
      </w:r>
      <w:r>
        <w:t xml:space="preserve"> </w:t>
      </w:r>
      <w:r w:rsidRPr="00AB7CA1">
        <w:t>“NOM-243-SSA1-2010, Productos y servicios. Leche, producto lácteo, producto lácteo combinado, mezcla de leche con grasa vegetal y derivados lácteos. Disposiciones y especificaciones sanitarias. Métodos de prueba” vigentes.</w:t>
      </w:r>
    </w:p>
    <w:p w14:paraId="2021FAF0" w14:textId="77777777" w:rsidR="0098530D" w:rsidRPr="00AB7CA1" w:rsidRDefault="0098530D" w:rsidP="0098530D">
      <w:pPr>
        <w:pStyle w:val="Texto"/>
        <w:spacing w:line="232" w:lineRule="exact"/>
        <w:ind w:left="3312" w:hanging="576"/>
      </w:pPr>
      <w:r w:rsidRPr="00AB7CA1">
        <w:rPr>
          <w:b/>
        </w:rPr>
        <w:t>II.</w:t>
      </w:r>
      <w:r w:rsidRPr="00AB7CA1">
        <w:rPr>
          <w:b/>
        </w:rPr>
        <w:tab/>
      </w:r>
      <w:r w:rsidRPr="00AB7CA1">
        <w:t>La mezcla de leche con grasa vegetal en sus diversas denominaciones comerciales, incluida la saborizada, siempre y cuando cumplan con las especificaciones establecidas en las Normas Oficiales Mexicanas “NOM-190-SCFI-2012, Mezcla</w:t>
      </w:r>
      <w:r>
        <w:t xml:space="preserve"> </w:t>
      </w:r>
      <w:r w:rsidRPr="00AB7CA1">
        <w:t>de leche con grasa vegetal-Denominaciones, especificaciones</w:t>
      </w:r>
      <w:r>
        <w:t xml:space="preserve"> </w:t>
      </w:r>
      <w:r w:rsidRPr="00AB7CA1">
        <w:t>fisicoquímicas, información comercial y métodos de prueba”</w:t>
      </w:r>
      <w:r w:rsidRPr="00AB7CA1">
        <w:rPr>
          <w:noProof/>
        </w:rPr>
        <w:t xml:space="preserve"> </w:t>
      </w:r>
      <w:r w:rsidRPr="00AB7CA1">
        <w:t>y</w:t>
      </w:r>
      <w:r>
        <w:t xml:space="preserve"> </w:t>
      </w:r>
      <w:r w:rsidRPr="00AB7CA1">
        <w:t>“NOM-243-SSA1-2010, Productos y servicios. Leche, producto lácteo, producto lácteo combinado, mezcla de leche con grasa vegetal y derivados lácteos. Disposiciones y especificaciones sanitarias. Métodos de prueba” vigentes.</w:t>
      </w:r>
    </w:p>
    <w:p w14:paraId="52A48D85" w14:textId="77777777" w:rsidR="0098530D" w:rsidRPr="00AB7CA1" w:rsidRDefault="0098530D" w:rsidP="0098530D">
      <w:pPr>
        <w:pStyle w:val="Texto"/>
        <w:spacing w:line="232" w:lineRule="exact"/>
        <w:ind w:left="3312" w:hanging="576"/>
      </w:pPr>
      <w:r w:rsidRPr="00AB7CA1">
        <w:rPr>
          <w:b/>
        </w:rPr>
        <w:t>III.</w:t>
      </w:r>
      <w:r w:rsidRPr="00AB7CA1">
        <w:rPr>
          <w:b/>
        </w:rPr>
        <w:tab/>
      </w:r>
      <w:r w:rsidRPr="00AB7CA1">
        <w:t>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p w14:paraId="0DD61A56" w14:textId="77777777" w:rsidR="0098530D" w:rsidRDefault="0098530D" w:rsidP="0098530D">
      <w:pPr>
        <w:pStyle w:val="Texto"/>
        <w:spacing w:line="232" w:lineRule="exact"/>
        <w:ind w:left="2736" w:hanging="1152"/>
      </w:pPr>
      <w:r w:rsidRPr="00AB7CA1">
        <w:tab/>
        <w:t>Los productos antes señalados, aún y cuando tengan azúcares añadidos disueltos en agua quedan comprendidos en la exención antes mencionada.</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7463C582"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9BD01BF" w14:textId="77777777" w:rsidR="0098530D" w:rsidRPr="00AB7CA1" w:rsidRDefault="0098530D" w:rsidP="00552502">
            <w:pPr>
              <w:pStyle w:val="Texto"/>
              <w:spacing w:line="232"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12F8F88C" w14:textId="77777777" w:rsidR="0098530D" w:rsidRPr="00AB7CA1" w:rsidRDefault="0098530D" w:rsidP="00552502">
            <w:pPr>
              <w:pStyle w:val="Texto"/>
              <w:spacing w:line="232" w:lineRule="exact"/>
              <w:ind w:firstLine="0"/>
              <w:jc w:val="center"/>
              <w:rPr>
                <w:b/>
              </w:rPr>
            </w:pPr>
            <w:r w:rsidRPr="00AB7CA1">
              <w:rPr>
                <w:b/>
              </w:rPr>
              <w:t>Primer antecedente</w:t>
            </w:r>
          </w:p>
        </w:tc>
      </w:tr>
      <w:tr w:rsidR="0098530D" w:rsidRPr="00AB7CA1" w14:paraId="6BB0B8E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29D0456" w14:textId="77777777" w:rsidR="0098530D" w:rsidRPr="00AB7CA1" w:rsidRDefault="0098530D" w:rsidP="00552502">
            <w:pPr>
              <w:pStyle w:val="Texto"/>
              <w:spacing w:line="232" w:lineRule="exact"/>
              <w:ind w:firstLine="0"/>
            </w:pPr>
            <w:r w:rsidRPr="00AB7CA1">
              <w:lastRenderedPageBreak/>
              <w:t>2014</w:t>
            </w:r>
          </w:p>
        </w:tc>
        <w:tc>
          <w:tcPr>
            <w:tcW w:w="3237" w:type="pct"/>
            <w:tcBorders>
              <w:top w:val="single" w:sz="6" w:space="0" w:color="auto"/>
              <w:left w:val="single" w:sz="6" w:space="0" w:color="auto"/>
              <w:bottom w:val="single" w:sz="6" w:space="0" w:color="auto"/>
              <w:right w:val="single" w:sz="6" w:space="0" w:color="auto"/>
            </w:tcBorders>
          </w:tcPr>
          <w:p w14:paraId="4CBC37AD" w14:textId="77777777" w:rsidR="0098530D" w:rsidRPr="00AB7CA1" w:rsidRDefault="0098530D" w:rsidP="00552502">
            <w:pPr>
              <w:pStyle w:val="Texto"/>
              <w:spacing w:line="232" w:lineRule="exact"/>
              <w:ind w:firstLine="0"/>
            </w:pPr>
            <w:r w:rsidRPr="00AB7CA1">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5/2014/IEPS.</w:t>
            </w:r>
          </w:p>
        </w:tc>
      </w:tr>
    </w:tbl>
    <w:p w14:paraId="75B2FDBD" w14:textId="77777777" w:rsidR="0098530D" w:rsidRPr="00AB7CA1" w:rsidRDefault="0098530D" w:rsidP="0098530D">
      <w:pPr>
        <w:pStyle w:val="Texto"/>
        <w:spacing w:line="232" w:lineRule="exact"/>
        <w:ind w:left="2736" w:hanging="1152"/>
        <w:rPr>
          <w:b/>
          <w:noProof/>
        </w:rPr>
      </w:pPr>
    </w:p>
    <w:p w14:paraId="6EBD2AED" w14:textId="77777777" w:rsidR="0098530D" w:rsidRPr="00AB7CA1" w:rsidRDefault="0098530D" w:rsidP="0098530D">
      <w:pPr>
        <w:pStyle w:val="Texto"/>
        <w:spacing w:line="233" w:lineRule="exact"/>
        <w:ind w:left="2736" w:hanging="1152"/>
        <w:rPr>
          <w:b/>
          <w:noProof/>
        </w:rPr>
      </w:pPr>
      <w:r w:rsidRPr="00AB7CA1">
        <w:rPr>
          <w:b/>
          <w:noProof/>
        </w:rPr>
        <w:t>5/</w:t>
      </w:r>
      <w:r w:rsidRPr="00AB7CA1">
        <w:rPr>
          <w:b/>
        </w:rPr>
        <w:t>IEPS/N</w:t>
      </w:r>
      <w:r w:rsidRPr="00AB7CA1">
        <w:rPr>
          <w:b/>
        </w:rPr>
        <w:tab/>
      </w:r>
      <w:r w:rsidRPr="00AB7CA1">
        <w:rPr>
          <w:b/>
          <w:noProof/>
        </w:rPr>
        <w:t>Productos lácteos y productos lácteos combinados. Están afectos al IEPS aplicable a bebidas saborizadas cuando en su proceso de elaboración se disuelvan azúcares en agua.</w:t>
      </w:r>
    </w:p>
    <w:p w14:paraId="6A24BC42" w14:textId="77777777" w:rsidR="0098530D" w:rsidRPr="00AB7CA1" w:rsidRDefault="0098530D" w:rsidP="0098530D">
      <w:pPr>
        <w:pStyle w:val="Texto"/>
        <w:spacing w:line="233" w:lineRule="exact"/>
        <w:ind w:left="2736" w:hanging="1152"/>
        <w:rPr>
          <w:noProof/>
        </w:rPr>
      </w:pPr>
      <w:r w:rsidRPr="00AB7CA1">
        <w:rPr>
          <w:b/>
          <w:noProof/>
        </w:rPr>
        <w:tab/>
      </w:r>
      <w:r w:rsidRPr="00AB7CA1">
        <w:rPr>
          <w:noProof/>
        </w:rPr>
        <w:t xml:space="preserve">El artículo 2o., fracción I, inciso G) de la Ley del IEPS, establece que en la enajenación o, en su caso, en la importación de bebidas saborizadas que contengan cualquier tipo de azúcares añadidos, se aplicará la cuota por litro </w:t>
      </w:r>
      <w:r w:rsidRPr="00AB7CA1">
        <w:t>que corresponda.</w:t>
      </w:r>
    </w:p>
    <w:p w14:paraId="1E571B0D" w14:textId="77777777" w:rsidR="0098530D" w:rsidRPr="00AB7CA1" w:rsidRDefault="0098530D" w:rsidP="0098530D">
      <w:pPr>
        <w:pStyle w:val="Texto"/>
        <w:spacing w:line="233" w:lineRule="exact"/>
        <w:ind w:left="2736" w:hanging="1152"/>
        <w:rPr>
          <w:noProof/>
        </w:rPr>
      </w:pPr>
      <w:r w:rsidRPr="00AB7CA1">
        <w:rPr>
          <w:noProof/>
        </w:rPr>
        <w:tab/>
        <w:t>Por su parte, el artículo 3o., fracción XVIII de la Ley señalada en el párrafo anterior, define a las bebidas saborizadas como las bebidas no alcohólicas elaboradas por la disolución en agua de cualquier tipo de azúcares y que pueden incluir ingredientes adicionales tales como saborizantes, naturales, artificiales o sintéticos, adicionados o no, de jugo, pulpa o néctar, de frutas o de verduras o de legumbres, de sus concentrados o extractos y otros aditivos para alimentos, y que pueden estar o no carbonatadas.</w:t>
      </w:r>
    </w:p>
    <w:p w14:paraId="0EB58ADB" w14:textId="77777777" w:rsidR="0098530D" w:rsidRPr="00AB7CA1" w:rsidRDefault="0098530D" w:rsidP="0098530D">
      <w:pPr>
        <w:pStyle w:val="Texto"/>
        <w:spacing w:line="233" w:lineRule="exact"/>
        <w:ind w:left="2736" w:hanging="1152"/>
        <w:rPr>
          <w:noProof/>
        </w:rPr>
      </w:pPr>
      <w:r w:rsidRPr="00AB7CA1">
        <w:rPr>
          <w:noProof/>
        </w:rPr>
        <w:tab/>
        <w:t>Conforme a la fracción XX del mencionado artículo 3o., son azúcares los monosacáridos, disacáridos y polisacáridos, siempre que en este último caso se utilicen como edulcorantes con aporte calórico.</w:t>
      </w:r>
    </w:p>
    <w:p w14:paraId="659CB1D2" w14:textId="77777777" w:rsidR="0098530D" w:rsidRPr="00AB7CA1" w:rsidRDefault="0098530D" w:rsidP="0098530D">
      <w:pPr>
        <w:pStyle w:val="Texto"/>
        <w:spacing w:line="233" w:lineRule="exact"/>
        <w:ind w:left="2736" w:hanging="1152"/>
        <w:rPr>
          <w:noProof/>
        </w:rPr>
      </w:pPr>
      <w:r w:rsidRPr="00AB7CA1">
        <w:rPr>
          <w:noProof/>
        </w:rPr>
        <w:tab/>
        <w:t>Existen en el mercado una gran variedad de productos en los que la leche sólo es un componente, los cuales deben reunir las especificaciones establecidas en la regulación sanitaria y comercial para tal efecto; dichos productos se denominan productos lácteos y productos lácteos combinados y pueden contener azúcares añadidos disueltos en agua.</w:t>
      </w:r>
    </w:p>
    <w:p w14:paraId="475EC351" w14:textId="77777777" w:rsidR="0098530D" w:rsidRPr="00AB7CA1" w:rsidRDefault="0098530D" w:rsidP="0098530D">
      <w:pPr>
        <w:pStyle w:val="Texto"/>
        <w:spacing w:line="217" w:lineRule="exact"/>
        <w:ind w:left="2736" w:hanging="1152"/>
        <w:rPr>
          <w:noProof/>
        </w:rPr>
      </w:pPr>
      <w:r w:rsidRPr="00AB7CA1">
        <w:rPr>
          <w:noProof/>
        </w:rPr>
        <w:tab/>
        <w:t xml:space="preserve">En tal virtud, los productos lácteos y los productos lácteos combinados a que se refieren las Normas Oficiales Mexicanas “NOM-183-SCFI-2012, Producto lácteo y producto lácteo combinado-Denominaciones, especificaciones fisicoquímicas, información comercial y métodos de prueba” y “NOM-243-SSA1-2010, Productos y servicios. Leche, </w:t>
      </w:r>
      <w:r w:rsidRPr="00AB7CA1">
        <w:t>producto lácteo</w:t>
      </w:r>
      <w:r w:rsidRPr="00AB7CA1">
        <w:rPr>
          <w:noProof/>
        </w:rPr>
        <w:t>, producto lácteo combinado</w:t>
      </w:r>
      <w:r w:rsidRPr="00AB7CA1">
        <w:t>, mezcla de leche con grasa vegetal</w:t>
      </w:r>
      <w:r w:rsidRPr="00AB7CA1">
        <w:rPr>
          <w:noProof/>
        </w:rPr>
        <w:t xml:space="preserve"> y derivados lácteos. Disposiciones y especificaciones sanitarias. Métodos de prueba” vigentes, se ubican en el supuesto previsto en el artículo 2o., fracción I, inciso G) de la Ley del IEPS y en consecuencia están afectos al pago del citado impuesto, cuando en su proceso de elaboración se disuelvan azúcares en agua.</w:t>
      </w:r>
    </w:p>
    <w:p w14:paraId="1977E833" w14:textId="77777777" w:rsidR="0098530D" w:rsidRDefault="0098530D" w:rsidP="0098530D">
      <w:pPr>
        <w:pStyle w:val="Texto"/>
        <w:spacing w:line="217" w:lineRule="exact"/>
        <w:ind w:left="2736" w:hanging="1152"/>
        <w:rPr>
          <w:noProof/>
        </w:rPr>
      </w:pPr>
      <w:r w:rsidRPr="00AB7CA1">
        <w:rPr>
          <w:noProof/>
        </w:rPr>
        <w:tab/>
        <w:t>No aplica lo señalado en el párrafo anterior, cuando para la elaboración de productos lácteos y productos lácteos combinados se añadan azúcares por medio de procedimientos distintos a la disolución en agua.</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4B0D6D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813A3FA" w14:textId="77777777" w:rsidR="0098530D" w:rsidRPr="00AB7CA1" w:rsidRDefault="0098530D" w:rsidP="00552502">
            <w:pPr>
              <w:pStyle w:val="Texto"/>
              <w:spacing w:line="217"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1486712F" w14:textId="77777777" w:rsidR="0098530D" w:rsidRPr="00AB7CA1" w:rsidRDefault="0098530D" w:rsidP="00552502">
            <w:pPr>
              <w:pStyle w:val="Texto"/>
              <w:spacing w:line="217" w:lineRule="exact"/>
              <w:ind w:firstLine="0"/>
              <w:jc w:val="center"/>
              <w:rPr>
                <w:b/>
              </w:rPr>
            </w:pPr>
            <w:r w:rsidRPr="00AB7CA1">
              <w:rPr>
                <w:b/>
              </w:rPr>
              <w:t>Primer antecedente</w:t>
            </w:r>
          </w:p>
        </w:tc>
      </w:tr>
      <w:tr w:rsidR="0098530D" w:rsidRPr="00AB7CA1" w14:paraId="5FE1ABF8"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F2FBE5F" w14:textId="77777777" w:rsidR="0098530D" w:rsidRPr="00AB7CA1" w:rsidRDefault="0098530D" w:rsidP="00552502">
            <w:pPr>
              <w:pStyle w:val="Texto"/>
              <w:spacing w:line="217" w:lineRule="exact"/>
              <w:ind w:firstLine="0"/>
            </w:pPr>
            <w:r w:rsidRPr="00AB7CA1">
              <w:lastRenderedPageBreak/>
              <w:t>2014</w:t>
            </w:r>
          </w:p>
        </w:tc>
        <w:tc>
          <w:tcPr>
            <w:tcW w:w="3237" w:type="pct"/>
            <w:tcBorders>
              <w:top w:val="single" w:sz="6" w:space="0" w:color="auto"/>
              <w:left w:val="single" w:sz="6" w:space="0" w:color="auto"/>
              <w:bottom w:val="single" w:sz="6" w:space="0" w:color="auto"/>
              <w:right w:val="single" w:sz="6" w:space="0" w:color="auto"/>
            </w:tcBorders>
          </w:tcPr>
          <w:p w14:paraId="35A6ED12" w14:textId="77777777" w:rsidR="0098530D" w:rsidRPr="00AB7CA1" w:rsidRDefault="0098530D" w:rsidP="00552502">
            <w:pPr>
              <w:pStyle w:val="Texto"/>
              <w:spacing w:line="217" w:lineRule="exact"/>
              <w:ind w:firstLine="0"/>
            </w:pPr>
            <w:r w:rsidRPr="00AB7CA1">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6/2014/IEPS.</w:t>
            </w:r>
          </w:p>
        </w:tc>
      </w:tr>
    </w:tbl>
    <w:p w14:paraId="6F8F4087" w14:textId="77777777" w:rsidR="0098530D" w:rsidRPr="00AB7CA1" w:rsidRDefault="0098530D" w:rsidP="0098530D">
      <w:pPr>
        <w:pStyle w:val="Texto"/>
        <w:spacing w:line="217" w:lineRule="exact"/>
        <w:ind w:left="2736" w:hanging="1152"/>
        <w:rPr>
          <w:b/>
        </w:rPr>
      </w:pPr>
    </w:p>
    <w:p w14:paraId="65AB6969" w14:textId="77777777" w:rsidR="0098530D" w:rsidRPr="00AB7CA1" w:rsidRDefault="0098530D" w:rsidP="0098530D">
      <w:pPr>
        <w:pStyle w:val="Texto"/>
        <w:spacing w:line="218" w:lineRule="exact"/>
        <w:ind w:left="2736" w:hanging="1152"/>
      </w:pPr>
      <w:r w:rsidRPr="00AB7CA1">
        <w:rPr>
          <w:b/>
        </w:rPr>
        <w:t>6/IEPS/N</w:t>
      </w:r>
      <w:r w:rsidRPr="00AB7CA1">
        <w:rPr>
          <w:b/>
        </w:rPr>
        <w:tab/>
        <w:t>Preparaciones alimenticias que requieren un proceso adicional para su consumo</w:t>
      </w:r>
      <w:r w:rsidRPr="00AB7CA1">
        <w:t>.</w:t>
      </w:r>
    </w:p>
    <w:p w14:paraId="7BF7D069" w14:textId="77777777" w:rsidR="0098530D" w:rsidRPr="00AB7CA1" w:rsidRDefault="0098530D" w:rsidP="0098530D">
      <w:pPr>
        <w:pStyle w:val="Texto"/>
        <w:spacing w:line="218" w:lineRule="exact"/>
        <w:ind w:left="2736" w:hanging="1152"/>
      </w:pPr>
      <w:r w:rsidRPr="00AB7CA1">
        <w:tab/>
        <w:t>El artículo 2o., fracción I, inciso J), de la Ley del IEPS establece que la enajenación o, en su caso, la importación de alimentos no básicos con una densidad calórica de 275 kcal o mayor por cada 100 gramos se encuentran gravados a la tasa del 8%.</w:t>
      </w:r>
    </w:p>
    <w:p w14:paraId="6D03423B" w14:textId="77777777" w:rsidR="0098530D" w:rsidRPr="00AB7CA1" w:rsidRDefault="0098530D" w:rsidP="0098530D">
      <w:pPr>
        <w:pStyle w:val="Texto"/>
        <w:spacing w:line="218" w:lineRule="exact"/>
        <w:ind w:left="2736" w:hanging="1152"/>
      </w:pPr>
      <w:r w:rsidRPr="00AB7CA1">
        <w:tab/>
        <w:t>El numeral 8o., inciso J) de la fracción I del artículo 2o. de la Ley del IEPS, grava los alimentos preparados a base de cereales, es decir, aquellos productos que están listos para consumirse por no requerir un proceso adicional para ingerirse en forma directa.</w:t>
      </w:r>
    </w:p>
    <w:p w14:paraId="3110B577" w14:textId="77777777" w:rsidR="0098530D" w:rsidRPr="00AB7CA1" w:rsidRDefault="0098530D" w:rsidP="0098530D">
      <w:pPr>
        <w:pStyle w:val="Texto"/>
        <w:spacing w:line="218" w:lineRule="exact"/>
        <w:ind w:left="2736" w:hanging="1152"/>
      </w:pPr>
      <w:r w:rsidRPr="00AB7CA1">
        <w:tab/>
        <w:t>Por lo tanto, tratándose de preparaciones alimenticias que requieran de algún proceso adicional previo para ingerirse en forma directa no estarán sujetos al pago del IEPS, ello en virtud de que no se consideran productos terminados ni susceptibles para su consumo directo.</w:t>
      </w:r>
    </w:p>
    <w:p w14:paraId="690E5C96" w14:textId="77777777" w:rsidR="0098530D" w:rsidRPr="00AB7CA1" w:rsidRDefault="0098530D" w:rsidP="0098530D">
      <w:pPr>
        <w:pStyle w:val="Texto"/>
        <w:spacing w:line="218" w:lineRule="exact"/>
        <w:ind w:left="2736" w:hanging="1152"/>
      </w:pPr>
      <w:r w:rsidRPr="00AB7CA1">
        <w:tab/>
        <w:t>El artículo 2o., fracción I, inciso J), numeral 1 de la Ley del IEPS, grava a las botanas, es decir a aquellos productos elaborados a base de harinas, semillas, tubérculos, cereales, granos y frutas sanos y limpios que pueden estar fritos, horneados y explotados o tostados, los cuales no es necesario que estén listos para consumirse para ser objeto del referido impuesto.</w:t>
      </w:r>
    </w:p>
    <w:p w14:paraId="6702D5D5" w14:textId="77777777" w:rsidR="0098530D" w:rsidRPr="00AB7CA1" w:rsidRDefault="0098530D" w:rsidP="0098530D">
      <w:pPr>
        <w:pStyle w:val="Texto"/>
        <w:spacing w:line="218" w:lineRule="exact"/>
        <w:ind w:left="2736" w:hanging="1152"/>
      </w:pPr>
      <w:r w:rsidRPr="00AB7CA1">
        <w:tab/>
        <w:t>Por lo tanto, las preparaciones alimenticias para la elaboración de botanas que requieren de un proceso adicional como freído o explosión a base de aire caliente, entre otros, se encuentran gravadas a la tasa del IEPS cuando su densidad calórica sea de 275 kcal o mayor por cada 100 gramos.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341A4F75"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72D2496E" w14:textId="77777777" w:rsidR="0098530D" w:rsidRPr="00AB7CA1" w:rsidRDefault="0098530D" w:rsidP="00552502">
            <w:pPr>
              <w:pStyle w:val="Texto"/>
              <w:spacing w:line="217"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0858073C" w14:textId="77777777" w:rsidR="0098530D" w:rsidRPr="00AB7CA1" w:rsidRDefault="0098530D" w:rsidP="00552502">
            <w:pPr>
              <w:pStyle w:val="Texto"/>
              <w:spacing w:line="217" w:lineRule="exact"/>
              <w:ind w:firstLine="0"/>
              <w:jc w:val="center"/>
              <w:rPr>
                <w:b/>
              </w:rPr>
            </w:pPr>
            <w:r w:rsidRPr="00AB7CA1">
              <w:rPr>
                <w:b/>
              </w:rPr>
              <w:t>Primer antecedente</w:t>
            </w:r>
          </w:p>
        </w:tc>
      </w:tr>
      <w:tr w:rsidR="0098530D" w:rsidRPr="00AB7CA1" w14:paraId="1BC94CF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066F9FE" w14:textId="77777777" w:rsidR="0098530D" w:rsidRPr="00AB7CA1" w:rsidRDefault="0098530D" w:rsidP="00552502">
            <w:pPr>
              <w:pStyle w:val="Texto"/>
              <w:spacing w:line="217" w:lineRule="exact"/>
              <w:ind w:firstLine="0"/>
            </w:pPr>
            <w:r w:rsidRPr="00AB7CA1">
              <w:t>2014</w:t>
            </w:r>
          </w:p>
        </w:tc>
        <w:tc>
          <w:tcPr>
            <w:tcW w:w="3237" w:type="pct"/>
            <w:tcBorders>
              <w:top w:val="single" w:sz="6" w:space="0" w:color="auto"/>
              <w:left w:val="single" w:sz="6" w:space="0" w:color="auto"/>
              <w:bottom w:val="single" w:sz="6" w:space="0" w:color="auto"/>
              <w:right w:val="single" w:sz="6" w:space="0" w:color="auto"/>
            </w:tcBorders>
          </w:tcPr>
          <w:p w14:paraId="399171D8" w14:textId="77777777" w:rsidR="0098530D" w:rsidRPr="00AB7CA1" w:rsidRDefault="0098530D" w:rsidP="00552502">
            <w:pPr>
              <w:pStyle w:val="Texto"/>
              <w:spacing w:line="217" w:lineRule="exact"/>
              <w:ind w:firstLine="0"/>
            </w:pPr>
            <w:r w:rsidRPr="00AB7CA1">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7/2014/IEPS.</w:t>
            </w:r>
          </w:p>
        </w:tc>
      </w:tr>
    </w:tbl>
    <w:p w14:paraId="1499EC2F" w14:textId="77777777" w:rsidR="0098530D" w:rsidRPr="00AB7CA1" w:rsidRDefault="0098530D" w:rsidP="0098530D">
      <w:pPr>
        <w:pStyle w:val="Texto"/>
        <w:spacing w:after="82"/>
        <w:ind w:left="2736" w:hanging="1152"/>
        <w:rPr>
          <w:b/>
        </w:rPr>
      </w:pPr>
      <w:r w:rsidRPr="00AB7CA1">
        <w:rPr>
          <w:b/>
        </w:rPr>
        <w:t>7/IEPS/N</w:t>
      </w:r>
      <w:r w:rsidRPr="00AB7CA1">
        <w:rPr>
          <w:b/>
        </w:rPr>
        <w:tab/>
        <w:t>Productos de confitería y helados cuyo insumo sea chicle o goma de mascar.</w:t>
      </w:r>
    </w:p>
    <w:p w14:paraId="70067BBF" w14:textId="77777777" w:rsidR="0098530D" w:rsidRPr="00AB7CA1" w:rsidRDefault="0098530D" w:rsidP="0098530D">
      <w:pPr>
        <w:pStyle w:val="Texto"/>
        <w:spacing w:after="82"/>
        <w:ind w:left="2736" w:hanging="1152"/>
      </w:pPr>
      <w:r w:rsidRPr="00AB7CA1">
        <w:rPr>
          <w:b/>
        </w:rPr>
        <w:tab/>
      </w:r>
      <w:r w:rsidRPr="00AB7CA1">
        <w:t>El artículo 2o., fracción I, inciso J) de la Ley del IEPS establece que la enajenación, o en su caso, la importación de alimentos no básicos con una densidad calórica de 275 kcal o mayor por cada 100 gramos se encuentra gravada a la tasa del 8%.</w:t>
      </w:r>
    </w:p>
    <w:p w14:paraId="43C642D3" w14:textId="77777777" w:rsidR="0098530D" w:rsidRPr="00AB7CA1" w:rsidRDefault="0098530D" w:rsidP="0098530D">
      <w:pPr>
        <w:pStyle w:val="Texto"/>
        <w:spacing w:after="82"/>
        <w:ind w:left="2736" w:hanging="1152"/>
      </w:pPr>
      <w:r w:rsidRPr="00AB7CA1">
        <w:tab/>
        <w:t>El artículo 2o.-A, fracción I, inciso b), numeral 5 de la Ley del IVA, establece que la enajenación de chicles o gomas de mascar se encuentra gravada a la tasa del 16%.</w:t>
      </w:r>
    </w:p>
    <w:p w14:paraId="27FE7CFC" w14:textId="77777777" w:rsidR="0098530D" w:rsidRPr="00AB7CA1" w:rsidRDefault="0098530D" w:rsidP="0098530D">
      <w:pPr>
        <w:pStyle w:val="Texto"/>
        <w:spacing w:after="82"/>
        <w:ind w:left="2736" w:hanging="1152"/>
      </w:pPr>
      <w:r w:rsidRPr="00AB7CA1">
        <w:tab/>
        <w:t>Tratándose de alimentos no básicos como productos de confitería, helados, nieves y paletas de hielo, entre otros, que contengan como insumo chicles o gomas de mascar, estarán sujetos a la tasa del 8% del IEPS cuando su densidad calórica sea de 275 kcal o mayor por cada 100 gramos.</w:t>
      </w:r>
    </w:p>
    <w:p w14:paraId="690D8B56" w14:textId="77777777" w:rsidR="0098530D" w:rsidRPr="00AB7CA1" w:rsidRDefault="0098530D" w:rsidP="0098530D">
      <w:pPr>
        <w:pStyle w:val="Texto"/>
        <w:spacing w:after="82"/>
        <w:ind w:left="2736" w:hanging="1152"/>
      </w:pPr>
      <w:r w:rsidRPr="00AB7CA1">
        <w:lastRenderedPageBreak/>
        <w:tab/>
        <w:t>Se aclara que cuando el producto sea exclusivamente chicle o goma de mascar, es decir, se trate del producto elaborado a base de gomas naturales o gomas sintéticas, polímeros y copolímeros, adicionados de otros ingredientes y aditivos para alimentos, estará sujeto a la tasa del 16% del IVA y no se pagará el IEPS cuando el contribuyente tome el beneficio previsto en el artículo 3.3 del “Decreto que compila diversos beneficios fiscales y establece medidas de simplificación administrativa”, publicado en el DOF el 26 de diciembre de 2013.</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5D6413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47A7607F" w14:textId="77777777" w:rsidR="0098530D" w:rsidRPr="00AB7CA1" w:rsidRDefault="0098530D" w:rsidP="00552502">
            <w:pPr>
              <w:pStyle w:val="Texto"/>
              <w:spacing w:after="82"/>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7B2DC472" w14:textId="77777777" w:rsidR="0098530D" w:rsidRPr="00AB7CA1" w:rsidRDefault="0098530D" w:rsidP="00552502">
            <w:pPr>
              <w:pStyle w:val="Texto"/>
              <w:spacing w:after="82"/>
              <w:ind w:firstLine="0"/>
              <w:jc w:val="center"/>
              <w:rPr>
                <w:b/>
              </w:rPr>
            </w:pPr>
            <w:r w:rsidRPr="00AB7CA1">
              <w:rPr>
                <w:b/>
              </w:rPr>
              <w:t>Primer antecedente</w:t>
            </w:r>
          </w:p>
        </w:tc>
      </w:tr>
      <w:tr w:rsidR="0098530D" w:rsidRPr="00AB7CA1" w14:paraId="0EFD6ED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279112A2" w14:textId="77777777" w:rsidR="0098530D" w:rsidRPr="00AB7CA1" w:rsidRDefault="0098530D" w:rsidP="00552502">
            <w:pPr>
              <w:pStyle w:val="Texto"/>
              <w:spacing w:after="82"/>
              <w:ind w:firstLine="0"/>
            </w:pPr>
            <w:r w:rsidRPr="00AB7CA1">
              <w:t>2014</w:t>
            </w:r>
          </w:p>
        </w:tc>
        <w:tc>
          <w:tcPr>
            <w:tcW w:w="3237" w:type="pct"/>
            <w:tcBorders>
              <w:top w:val="single" w:sz="6" w:space="0" w:color="auto"/>
              <w:left w:val="single" w:sz="6" w:space="0" w:color="auto"/>
              <w:bottom w:val="single" w:sz="6" w:space="0" w:color="auto"/>
              <w:right w:val="single" w:sz="6" w:space="0" w:color="auto"/>
            </w:tcBorders>
          </w:tcPr>
          <w:p w14:paraId="03848C0D" w14:textId="77777777" w:rsidR="0098530D" w:rsidRPr="00AB7CA1" w:rsidRDefault="0098530D" w:rsidP="00552502">
            <w:pPr>
              <w:pStyle w:val="Texto"/>
              <w:spacing w:after="82"/>
              <w:ind w:firstLine="0"/>
            </w:pPr>
            <w:r w:rsidRPr="00AB7CA1">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8/2014/IEPS.</w:t>
            </w:r>
          </w:p>
        </w:tc>
      </w:tr>
    </w:tbl>
    <w:p w14:paraId="2B931191" w14:textId="77777777" w:rsidR="0098530D" w:rsidRPr="00AB7CA1" w:rsidRDefault="0098530D" w:rsidP="0098530D">
      <w:pPr>
        <w:pStyle w:val="Texto"/>
        <w:spacing w:after="82"/>
        <w:ind w:left="2736" w:hanging="1152"/>
        <w:rPr>
          <w:b/>
        </w:rPr>
      </w:pPr>
    </w:p>
    <w:p w14:paraId="4415B620" w14:textId="77777777" w:rsidR="0098530D" w:rsidRPr="00AB7CA1" w:rsidRDefault="0098530D" w:rsidP="0098530D">
      <w:pPr>
        <w:pStyle w:val="Texto"/>
        <w:spacing w:after="82"/>
        <w:ind w:left="2736" w:hanging="1152"/>
        <w:rPr>
          <w:b/>
        </w:rPr>
      </w:pPr>
      <w:r w:rsidRPr="00AB7CA1">
        <w:rPr>
          <w:b/>
        </w:rPr>
        <w:t>8/IEPS/N</w:t>
      </w:r>
      <w:r w:rsidRPr="00AB7CA1">
        <w:rPr>
          <w:b/>
        </w:rPr>
        <w:tab/>
        <w:t>Gelatina o grenetina de grado comestible. Su enajenación o importación está sujeta al pago del IEPS cuando contenga azúcares u otros edulcorantes con una densidad calórica de 275 kilocalorías o mayor por cada 100 gramos.</w:t>
      </w:r>
    </w:p>
    <w:p w14:paraId="0FF8CA49" w14:textId="77777777" w:rsidR="0098530D" w:rsidRPr="00AB7CA1" w:rsidRDefault="0098530D" w:rsidP="0098530D">
      <w:pPr>
        <w:pStyle w:val="Texto"/>
        <w:spacing w:after="82"/>
        <w:ind w:left="2736" w:hanging="1152"/>
      </w:pPr>
      <w:r w:rsidRPr="00AB7CA1">
        <w:rPr>
          <w:b/>
        </w:rPr>
        <w:tab/>
      </w:r>
      <w:r w:rsidRPr="00AB7CA1">
        <w:t>El artículo 2o., fracción I, inciso J) de la Ley del IEPS establece que la enajenación, o en su caso, la importación de alimentos no básicos con una densidad calórica de 275 kcal o mayor por cada 100 gramos se encuentra gravada a la tasa del 8%; al respecto, el numeral 2, del inciso en comento grava los productos de confitería.</w:t>
      </w:r>
    </w:p>
    <w:p w14:paraId="56751222" w14:textId="77777777" w:rsidR="0098530D" w:rsidRPr="00AB7CA1" w:rsidRDefault="0098530D" w:rsidP="0098530D">
      <w:pPr>
        <w:pStyle w:val="Texto"/>
        <w:spacing w:after="82"/>
        <w:ind w:left="2736" w:hanging="1152"/>
      </w:pPr>
      <w:r w:rsidRPr="00AB7CA1">
        <w:tab/>
        <w:t>Por su parte, el artículo 3o., fracción XXVII de la misma Ley, precisa que se entiende por productos de confitería, a los dulces y confites, caramelos, dulce imitación de mazapán, gelatina o grenetina, gelatina preparada o jaletina, malvavisco, mazapán, peladilla, turrón, entre otros.</w:t>
      </w:r>
    </w:p>
    <w:p w14:paraId="6445845B" w14:textId="77777777" w:rsidR="0098530D" w:rsidRPr="00AB7CA1" w:rsidRDefault="0098530D" w:rsidP="0098530D">
      <w:pPr>
        <w:pStyle w:val="Texto"/>
        <w:spacing w:after="82"/>
        <w:ind w:left="2736" w:hanging="1152"/>
      </w:pPr>
      <w:r w:rsidRPr="00AB7CA1">
        <w:tab/>
        <w:t>Conforme a lo expuesto, se estima que la gelatina o grenetina a que se refiere el párrafo anterior, necesariamente debe referirse a un producto alimenticio por ser esta la naturaleza del bien al que se refiere el inciso J) citado con antelación. Además, considerando que la grenetina o gelatina se ubica dentro del grupo de productos de confitería, debe incluir dentro de sus componentes el azúcar u otros edulcorantes, sin perjuicio de que pueda contener otros ingredientes adicionales aptos para el consumo humano.</w:t>
      </w:r>
    </w:p>
    <w:p w14:paraId="59F38760" w14:textId="77777777" w:rsidR="0098530D" w:rsidRPr="00AB7CA1" w:rsidRDefault="0098530D" w:rsidP="0098530D">
      <w:pPr>
        <w:pStyle w:val="Texto"/>
        <w:spacing w:after="82"/>
        <w:ind w:left="2736" w:hanging="1152"/>
      </w:pPr>
      <w:r w:rsidRPr="00AB7CA1">
        <w:tab/>
        <w:t>Por lo anterior y con base en los propios elementos que regula este impuesto, para los efectos de los artículos 2o., fracción I, inciso J), numeral 2, y 3o., fracción XXVII de la Ley del IEPS se estima que la enajenación o importación de gelatina o grenetina de grado comestible estará sujeta al pago del IEPS cuando contenga azúcares u otros edulcorantes y siempre que su densidad calórica sea de 275 kilocalorías o mayor por cada</w:t>
      </w:r>
      <w:r>
        <w:t xml:space="preserve"> </w:t>
      </w:r>
      <w:r w:rsidRPr="00AB7CA1">
        <w:t>100 gramos.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7B221CF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E9D526D" w14:textId="77777777" w:rsidR="0098530D" w:rsidRPr="00AB7CA1" w:rsidRDefault="0098530D" w:rsidP="00552502">
            <w:pPr>
              <w:pStyle w:val="Texto"/>
              <w:spacing w:line="222"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47016A9" w14:textId="77777777" w:rsidR="0098530D" w:rsidRPr="00AB7CA1" w:rsidRDefault="0098530D" w:rsidP="00552502">
            <w:pPr>
              <w:pStyle w:val="Texto"/>
              <w:spacing w:line="222" w:lineRule="exact"/>
              <w:ind w:firstLine="0"/>
              <w:jc w:val="center"/>
              <w:rPr>
                <w:b/>
              </w:rPr>
            </w:pPr>
            <w:r w:rsidRPr="00AB7CA1">
              <w:rPr>
                <w:b/>
              </w:rPr>
              <w:t>Primer antecedente</w:t>
            </w:r>
          </w:p>
        </w:tc>
      </w:tr>
      <w:tr w:rsidR="0098530D" w:rsidRPr="00AB7CA1" w14:paraId="6F6F6D3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6BF470A" w14:textId="77777777" w:rsidR="0098530D" w:rsidRPr="00AB7CA1" w:rsidRDefault="0098530D" w:rsidP="00552502">
            <w:pPr>
              <w:pStyle w:val="Texto"/>
              <w:spacing w:line="222" w:lineRule="exact"/>
              <w:ind w:firstLine="0"/>
            </w:pPr>
            <w:r w:rsidRPr="00AB7CA1">
              <w:t>Segunda Resolución de Modificaciones a la RMF para 2015</w:t>
            </w:r>
          </w:p>
        </w:tc>
        <w:tc>
          <w:tcPr>
            <w:tcW w:w="3237" w:type="pct"/>
            <w:tcBorders>
              <w:top w:val="single" w:sz="6" w:space="0" w:color="auto"/>
              <w:left w:val="single" w:sz="6" w:space="0" w:color="auto"/>
              <w:bottom w:val="single" w:sz="6" w:space="0" w:color="auto"/>
              <w:right w:val="single" w:sz="6" w:space="0" w:color="auto"/>
            </w:tcBorders>
          </w:tcPr>
          <w:p w14:paraId="531533C2" w14:textId="77777777" w:rsidR="0098530D" w:rsidRPr="00AB7CA1" w:rsidRDefault="0098530D" w:rsidP="00552502">
            <w:pPr>
              <w:pStyle w:val="Texto"/>
              <w:spacing w:line="222" w:lineRule="exact"/>
              <w:ind w:firstLine="0"/>
            </w:pPr>
            <w:r w:rsidRPr="00AB7CA1">
              <w:t>Publicada en el DOF el 14 de mayo de 2015, Anexo 7, publicado en el DOF el 21 de mayo de 2015.</w:t>
            </w:r>
          </w:p>
        </w:tc>
      </w:tr>
    </w:tbl>
    <w:p w14:paraId="20BEE693" w14:textId="77777777" w:rsidR="0098530D" w:rsidRPr="00AB7CA1" w:rsidRDefault="0098530D" w:rsidP="0098530D">
      <w:pPr>
        <w:pStyle w:val="Texto"/>
        <w:spacing w:line="222" w:lineRule="exact"/>
        <w:ind w:left="2736" w:hanging="1152"/>
        <w:rPr>
          <w:b/>
        </w:rPr>
      </w:pPr>
    </w:p>
    <w:p w14:paraId="56A06367" w14:textId="77777777" w:rsidR="0098530D" w:rsidRPr="00AB7CA1" w:rsidRDefault="0098530D" w:rsidP="0098530D">
      <w:pPr>
        <w:pStyle w:val="Texto"/>
        <w:spacing w:line="222" w:lineRule="exact"/>
        <w:ind w:left="2736" w:hanging="1152"/>
        <w:rPr>
          <w:b/>
        </w:rPr>
      </w:pPr>
      <w:r w:rsidRPr="00AB7CA1">
        <w:rPr>
          <w:b/>
        </w:rPr>
        <w:t>9/IEPS/N</w:t>
      </w:r>
      <w:r w:rsidRPr="00AB7CA1">
        <w:rPr>
          <w:b/>
        </w:rPr>
        <w:tab/>
        <w:t>Saldo a favor derivado del cálculo del IEPS conforme al artículo 2o., fracción I, incisos D) y H) de la Ley del IEPS. Sólo se puede compensar contra el impuesto establecido en el mismo artículo, fracción e incisos.</w:t>
      </w:r>
    </w:p>
    <w:p w14:paraId="621243A1" w14:textId="77777777" w:rsidR="0098530D" w:rsidRPr="00AB7CA1" w:rsidRDefault="0098530D" w:rsidP="0098530D">
      <w:pPr>
        <w:pStyle w:val="Texto"/>
        <w:spacing w:line="222" w:lineRule="exact"/>
        <w:ind w:left="2736" w:hanging="1152"/>
      </w:pPr>
      <w:r w:rsidRPr="00AB7CA1">
        <w:tab/>
        <w:t>El artículo 2o., fracción I, incisos D) y H) de la Ley del IEPS establece que al valor de la enajenación e importación de combustibles automotrices y combustibles fósiles se aplicarán las tasas y cuotas correspondientes.</w:t>
      </w:r>
    </w:p>
    <w:p w14:paraId="71B94FD3" w14:textId="77777777" w:rsidR="0098530D" w:rsidRPr="00AB7CA1" w:rsidRDefault="0098530D" w:rsidP="0098530D">
      <w:pPr>
        <w:pStyle w:val="Texto"/>
        <w:spacing w:line="222" w:lineRule="exact"/>
        <w:ind w:left="2736" w:hanging="1152"/>
      </w:pPr>
      <w:r w:rsidRPr="00AB7CA1">
        <w:lastRenderedPageBreak/>
        <w:tab/>
        <w:t>Asimismo, el artículo 2o.-A de la Ley del IEPS establece que, sin perjuicio de lo señalado en el artículo 2o., fracción I, incisos D) y H) de dicha Ley, en la enajenación de gasolinas y diésel en el territorio nacional, se aplicarán determinadas cuotas y refiere en su antepenúltimo párrafo que los recursos que se recauden en los términos del citado artículo 2o.-A, se destinarán a las entidades federativas, municipios y demarcaciones territoriales, conforme a lo establecido en la LCF.</w:t>
      </w:r>
    </w:p>
    <w:p w14:paraId="6D3857C6" w14:textId="77777777" w:rsidR="0098530D" w:rsidRPr="00AB7CA1" w:rsidRDefault="0098530D" w:rsidP="0098530D">
      <w:pPr>
        <w:pStyle w:val="Texto"/>
        <w:spacing w:line="222" w:lineRule="exact"/>
        <w:ind w:left="2736" w:hanging="1152"/>
      </w:pPr>
      <w:r w:rsidRPr="00AB7CA1">
        <w:tab/>
        <w:t>Conforme al artículo 5o., cuarto párrafo de la Ley del IEPS, cuando en la declaración de pago mensual resulte saldo a favor, el contribuyente únicamente podrá compensarlo contra el impuesto a cargo que le corresponda contra los pagos mensuales siguientes hasta agotarlo.</w:t>
      </w:r>
    </w:p>
    <w:p w14:paraId="258C262A" w14:textId="77777777" w:rsidR="0098530D" w:rsidRPr="00AB7CA1" w:rsidRDefault="0098530D" w:rsidP="0098530D">
      <w:pPr>
        <w:pStyle w:val="Texto"/>
        <w:spacing w:line="222" w:lineRule="exact"/>
        <w:ind w:left="2736" w:hanging="1152"/>
      </w:pPr>
      <w:r w:rsidRPr="00AB7CA1">
        <w:tab/>
        <w:t>Ahora bien, tomando en cuenta la diversa estructura que guarda cada uno de los distintos objetos específicos que contiene la Ley del IEPS, así como el proceso legislativo del Decreto publicado en el DOF el 30 de diciembre de 1980 mediante el cual se expidió la misma, se concluye que la Ley del IEPS contiene diversos impuestos atendiendo a cada uno de los supuestos específicos que contempla.</w:t>
      </w:r>
    </w:p>
    <w:p w14:paraId="0CA0EE01" w14:textId="77777777" w:rsidR="0098530D" w:rsidRPr="00AB7CA1" w:rsidRDefault="0098530D" w:rsidP="0098530D">
      <w:pPr>
        <w:pStyle w:val="Texto"/>
        <w:spacing w:line="222" w:lineRule="exact"/>
        <w:ind w:left="2736" w:hanging="1152"/>
      </w:pPr>
      <w:r w:rsidRPr="00AB7CA1">
        <w:tab/>
        <w:t>Por tanto, se estima que el mecanismo de compensación de saldos a favor a que alude el artículo 5o., cuarto párrafo de la Ley mencionada, sólo es procedente respecto del impuesto a cargo que corresponda al mismo supuesto específico del que deriva el saldo a favor.</w:t>
      </w:r>
    </w:p>
    <w:p w14:paraId="14D7608D" w14:textId="77777777" w:rsidR="0098530D" w:rsidRPr="00AB7CA1" w:rsidRDefault="0098530D" w:rsidP="0098530D">
      <w:pPr>
        <w:pStyle w:val="Texto"/>
        <w:spacing w:line="222" w:lineRule="exact"/>
        <w:ind w:left="2736" w:hanging="1152"/>
      </w:pPr>
      <w:r w:rsidRPr="00AB7CA1">
        <w:tab/>
        <w:t>En consecuencia, el saldo a favor originado por la determinación del impuesto establecido en el artículo 2o., fracción I, incisos D) o H) de la Ley del IEPS, sólo se puede compensar contra la determinación del impuesto establecido en el mismo artículo, fracción e inciso que lo originó, y no así contra el IEPS establecido en el artículo 2o.-A de la Ley del IEPS.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3670A00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59FBFF1" w14:textId="77777777" w:rsidR="0098530D" w:rsidRPr="00AB7CA1" w:rsidRDefault="0098530D" w:rsidP="00552502">
            <w:pPr>
              <w:pStyle w:val="Texto"/>
              <w:spacing w:line="222"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7C93354C" w14:textId="77777777" w:rsidR="0098530D" w:rsidRPr="00AB7CA1" w:rsidRDefault="0098530D" w:rsidP="00552502">
            <w:pPr>
              <w:pStyle w:val="Texto"/>
              <w:spacing w:line="222" w:lineRule="exact"/>
              <w:ind w:firstLine="0"/>
              <w:jc w:val="center"/>
              <w:rPr>
                <w:b/>
              </w:rPr>
            </w:pPr>
            <w:r w:rsidRPr="00AB7CA1">
              <w:rPr>
                <w:b/>
              </w:rPr>
              <w:t>Primer antecedente</w:t>
            </w:r>
          </w:p>
        </w:tc>
      </w:tr>
      <w:tr w:rsidR="0098530D" w:rsidRPr="00AB7CA1" w14:paraId="19C5509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9B79997" w14:textId="77777777" w:rsidR="0098530D" w:rsidRPr="00AB7CA1" w:rsidRDefault="0098530D" w:rsidP="00552502">
            <w:pPr>
              <w:pStyle w:val="Texto"/>
              <w:spacing w:line="222" w:lineRule="exact"/>
              <w:ind w:firstLine="0"/>
            </w:pPr>
            <w:r w:rsidRPr="00AB7CA1">
              <w:t>RMF 2020</w:t>
            </w:r>
          </w:p>
        </w:tc>
        <w:tc>
          <w:tcPr>
            <w:tcW w:w="3237" w:type="pct"/>
            <w:tcBorders>
              <w:top w:val="single" w:sz="6" w:space="0" w:color="auto"/>
              <w:left w:val="single" w:sz="6" w:space="0" w:color="auto"/>
              <w:bottom w:val="single" w:sz="6" w:space="0" w:color="auto"/>
              <w:right w:val="single" w:sz="6" w:space="0" w:color="auto"/>
            </w:tcBorders>
          </w:tcPr>
          <w:p w14:paraId="338BEB0E" w14:textId="77777777" w:rsidR="0098530D" w:rsidRPr="00AB7CA1" w:rsidRDefault="0098530D" w:rsidP="00552502">
            <w:pPr>
              <w:pStyle w:val="Texto"/>
              <w:spacing w:line="222" w:lineRule="exact"/>
              <w:ind w:firstLine="0"/>
            </w:pPr>
            <w:r w:rsidRPr="00AB7CA1">
              <w:t>Publicada en el DOF el 28 de diciembre de 2019, Anexo 7, publicado en el DOF el 9 de enero de 2020, con el número de criterio 10/IEPS.</w:t>
            </w:r>
          </w:p>
        </w:tc>
      </w:tr>
    </w:tbl>
    <w:p w14:paraId="41B10519" w14:textId="77777777" w:rsidR="0098530D" w:rsidRPr="00AB7CA1" w:rsidRDefault="0098530D" w:rsidP="0098530D">
      <w:pPr>
        <w:pStyle w:val="Texto"/>
        <w:spacing w:line="222" w:lineRule="exact"/>
        <w:ind w:left="2736" w:hanging="1152"/>
        <w:rPr>
          <w:b/>
        </w:rPr>
      </w:pPr>
    </w:p>
    <w:p w14:paraId="3F1D66ED" w14:textId="77777777" w:rsidR="0098530D" w:rsidRDefault="0098530D" w:rsidP="0098530D">
      <w:pPr>
        <w:pStyle w:val="Texto"/>
        <w:spacing w:line="222" w:lineRule="exact"/>
        <w:ind w:left="1584" w:hanging="720"/>
        <w:rPr>
          <w:b/>
        </w:rPr>
      </w:pPr>
      <w:r w:rsidRPr="00AB7CA1">
        <w:rPr>
          <w:b/>
        </w:rPr>
        <w:t>V.</w:t>
      </w:r>
      <w:r w:rsidRPr="00AB7CA1">
        <w:rPr>
          <w:b/>
        </w:rPr>
        <w:tab/>
        <w:t>Criterios de la LFD</w:t>
      </w:r>
    </w:p>
    <w:p w14:paraId="66025994" w14:textId="77777777" w:rsidR="0098530D" w:rsidRPr="00AB7CA1" w:rsidRDefault="0098530D" w:rsidP="0098530D">
      <w:pPr>
        <w:pStyle w:val="Texto"/>
        <w:spacing w:line="222" w:lineRule="exact"/>
        <w:ind w:left="2736" w:hanging="1152"/>
        <w:rPr>
          <w:b/>
          <w:lang w:val="es-ES_tradnl"/>
        </w:rPr>
      </w:pPr>
      <w:r w:rsidRPr="00AB7CA1">
        <w:rPr>
          <w:b/>
        </w:rPr>
        <w:t>1/LFD/N</w:t>
      </w:r>
      <w:r w:rsidRPr="00AB7CA1">
        <w:rPr>
          <w:b/>
        </w:rPr>
        <w:tab/>
      </w:r>
      <w:r w:rsidRPr="00AB7CA1">
        <w:rPr>
          <w:b/>
          <w:lang w:val="es-ES_tradnl"/>
        </w:rPr>
        <w:t>Derechos. Cuando se solicite la certificación de legajos o expedientes, se deberá pagar el derecho que corresponda por cada hoja tamaño carta u oficio.</w:t>
      </w:r>
    </w:p>
    <w:p w14:paraId="0333678C" w14:textId="77777777" w:rsidR="0098530D" w:rsidRPr="00AB7CA1" w:rsidRDefault="0098530D" w:rsidP="0098530D">
      <w:pPr>
        <w:pStyle w:val="Texto"/>
        <w:spacing w:line="222" w:lineRule="exact"/>
        <w:ind w:left="2736" w:hanging="1152"/>
        <w:rPr>
          <w:lang w:val="es-ES_tradnl"/>
        </w:rPr>
      </w:pPr>
      <w:r w:rsidRPr="00AB7CA1">
        <w:rPr>
          <w:b/>
          <w:lang w:val="es-ES_tradnl"/>
        </w:rPr>
        <w:tab/>
      </w:r>
      <w:r w:rsidRPr="00AB7CA1">
        <w:rPr>
          <w:lang w:val="es-ES_tradnl"/>
        </w:rPr>
        <w:t>Los contribuyentes que soliciten a las autoridades fiscales la expedición de copias certificadas de legajos o expedientes, deberán pagar el derecho establecido en el artículo 5o., fracción I de la LFD por la expedición de cada hoja tamaño carta u oficio de que conste el expediente o legajo, independientemente que se haga una certificación global de las constancias que obran en el mismo.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7FCDF73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6182519" w14:textId="77777777" w:rsidR="0098530D" w:rsidRPr="00AB7CA1" w:rsidRDefault="0098530D" w:rsidP="00552502">
            <w:pPr>
              <w:pStyle w:val="Texto"/>
              <w:spacing w:line="217"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4754159D" w14:textId="77777777" w:rsidR="0098530D" w:rsidRPr="00AB7CA1" w:rsidRDefault="0098530D" w:rsidP="00552502">
            <w:pPr>
              <w:pStyle w:val="Texto"/>
              <w:spacing w:line="217" w:lineRule="exact"/>
              <w:ind w:firstLine="0"/>
              <w:jc w:val="center"/>
              <w:rPr>
                <w:b/>
              </w:rPr>
            </w:pPr>
            <w:r w:rsidRPr="00AB7CA1">
              <w:rPr>
                <w:b/>
              </w:rPr>
              <w:t>Primer antecedente</w:t>
            </w:r>
          </w:p>
        </w:tc>
      </w:tr>
      <w:tr w:rsidR="0098530D" w:rsidRPr="00AB7CA1" w14:paraId="7DF5C82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B92926A" w14:textId="77777777" w:rsidR="0098530D" w:rsidRPr="00AB7CA1" w:rsidRDefault="0098530D" w:rsidP="00552502">
            <w:pPr>
              <w:pStyle w:val="Texto"/>
              <w:spacing w:line="217" w:lineRule="exact"/>
              <w:ind w:firstLine="0"/>
            </w:pPr>
            <w:r w:rsidRPr="00AB7CA1">
              <w:t>62/2002/LFD</w:t>
            </w:r>
          </w:p>
        </w:tc>
        <w:tc>
          <w:tcPr>
            <w:tcW w:w="3237" w:type="pct"/>
            <w:tcBorders>
              <w:top w:val="single" w:sz="6" w:space="0" w:color="auto"/>
              <w:left w:val="single" w:sz="6" w:space="0" w:color="auto"/>
              <w:bottom w:val="single" w:sz="6" w:space="0" w:color="auto"/>
              <w:right w:val="single" w:sz="6" w:space="0" w:color="auto"/>
            </w:tcBorders>
          </w:tcPr>
          <w:p w14:paraId="6107A946" w14:textId="77777777" w:rsidR="0098530D" w:rsidRPr="00AB7CA1" w:rsidRDefault="0098530D" w:rsidP="00552502">
            <w:pPr>
              <w:pStyle w:val="Texto"/>
              <w:spacing w:line="217" w:lineRule="exact"/>
              <w:ind w:firstLine="0"/>
            </w:pPr>
            <w:r w:rsidRPr="00AB7CA1">
              <w:t>Oficio 325-SAT-IV-B-75015 de 16 diciembre de 2002.</w:t>
            </w:r>
          </w:p>
        </w:tc>
      </w:tr>
    </w:tbl>
    <w:p w14:paraId="590D802D" w14:textId="77777777" w:rsidR="0098530D" w:rsidRPr="00AB7CA1" w:rsidRDefault="0098530D" w:rsidP="0098530D">
      <w:pPr>
        <w:pStyle w:val="Texto"/>
        <w:spacing w:line="217" w:lineRule="exact"/>
        <w:ind w:left="2736" w:hanging="1152"/>
        <w:rPr>
          <w:b/>
        </w:rPr>
      </w:pPr>
    </w:p>
    <w:p w14:paraId="75FB14BD" w14:textId="77777777" w:rsidR="0098530D" w:rsidRPr="00AB7CA1" w:rsidRDefault="0098530D" w:rsidP="0098530D">
      <w:pPr>
        <w:pStyle w:val="Texto"/>
        <w:spacing w:line="217" w:lineRule="exact"/>
        <w:ind w:left="2736" w:hanging="1152"/>
        <w:rPr>
          <w:b/>
          <w:lang w:val="es-ES_tradnl"/>
        </w:rPr>
      </w:pPr>
      <w:r w:rsidRPr="00AB7CA1">
        <w:rPr>
          <w:b/>
        </w:rPr>
        <w:t>2/LFD/N</w:t>
      </w:r>
      <w:r w:rsidRPr="00AB7CA1">
        <w:rPr>
          <w:b/>
        </w:rPr>
        <w:tab/>
      </w:r>
      <w:r w:rsidRPr="00AB7CA1">
        <w:rPr>
          <w:b/>
          <w:lang w:val="es-ES_tradnl"/>
        </w:rPr>
        <w:t>Derechos por uso o goce de inmuebles federales. Casos en los que no aplica la exención.</w:t>
      </w:r>
    </w:p>
    <w:p w14:paraId="3C57810F" w14:textId="77777777" w:rsidR="0098530D" w:rsidRPr="00AB7CA1" w:rsidRDefault="0098530D" w:rsidP="0098530D">
      <w:pPr>
        <w:pStyle w:val="Texto"/>
        <w:spacing w:line="217" w:lineRule="exact"/>
        <w:ind w:left="2736" w:hanging="1152"/>
        <w:rPr>
          <w:lang w:val="es-ES_tradnl"/>
        </w:rPr>
      </w:pPr>
      <w:r w:rsidRPr="00AB7CA1">
        <w:rPr>
          <w:b/>
          <w:lang w:val="es-ES_tradnl"/>
        </w:rPr>
        <w:tab/>
      </w:r>
      <w:r w:rsidRPr="00AB7CA1">
        <w:rPr>
          <w:lang w:val="es-ES_tradnl"/>
        </w:rPr>
        <w:t xml:space="preserve">Para estar en los supuestos de exención que se establecen en el artículo 233, fracciones III y IV de la LFD, es necesario que la sociedad o asociación que use, goce o aproveche un inmueble de dominio público de la Federación, </w:t>
      </w:r>
      <w:r w:rsidRPr="00AB7CA1">
        <w:rPr>
          <w:lang w:val="es-ES_tradnl"/>
        </w:rPr>
        <w:lastRenderedPageBreak/>
        <w:t>destine el inmueble o desarrolle acciones encaminadas para cumplir con los fines a que hacen referencia dichas fracciones, y además, las desarrolle en los inmuebles por los que pretenda estar exenta del pago de derechos.</w:t>
      </w:r>
    </w:p>
    <w:p w14:paraId="03FEF398" w14:textId="77777777" w:rsidR="0098530D" w:rsidRPr="00AB7CA1" w:rsidRDefault="0098530D" w:rsidP="0098530D">
      <w:pPr>
        <w:pStyle w:val="Texto"/>
        <w:spacing w:line="217" w:lineRule="exact"/>
        <w:ind w:left="2736" w:hanging="1152"/>
        <w:rPr>
          <w:lang w:val="es-ES_tradnl"/>
        </w:rPr>
      </w:pPr>
      <w:r w:rsidRPr="00AB7CA1">
        <w:rPr>
          <w:lang w:val="es-ES_tradnl"/>
        </w:rPr>
        <w:tab/>
        <w:t>Por otro lado, se entenderá que destina el bien inmueble a dichos fines o desarrollando actividades encaminadas a los mismos, cuando en términos del artículo 57 del Reglamento del CFF se tenga como actividad preponderante el desarrollo de los fines establecidos en las fracciones mencionadas de la LFD.</w:t>
      </w:r>
    </w:p>
    <w:p w14:paraId="66D3CB35" w14:textId="77777777" w:rsidR="0098530D" w:rsidRPr="00AB7CA1" w:rsidRDefault="0098530D" w:rsidP="0098530D">
      <w:pPr>
        <w:pStyle w:val="Texto"/>
        <w:spacing w:line="217" w:lineRule="exact"/>
        <w:ind w:left="2736" w:hanging="1152"/>
        <w:rPr>
          <w:lang w:val="es-ES_tradnl"/>
        </w:rPr>
      </w:pPr>
      <w:r w:rsidRPr="00AB7CA1">
        <w:rPr>
          <w:lang w:val="es-ES_tradnl"/>
        </w:rPr>
        <w:tab/>
        <w:t>Lo anterior, debido a que la realización de actividades esporádicas de investigación o reforestación no implican el destinar un inmueble a dichos fines o al desarrollo de actividades encaminadas a su materialización, tal y como lo exige la ley para encontrarse exento del pago de derechos.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6834DDD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627AAE9" w14:textId="77777777" w:rsidR="0098530D" w:rsidRPr="00AB7CA1" w:rsidRDefault="0098530D" w:rsidP="00552502">
            <w:pPr>
              <w:pStyle w:val="Texto"/>
              <w:spacing w:line="217"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1AD493C0" w14:textId="77777777" w:rsidR="0098530D" w:rsidRPr="00AB7CA1" w:rsidRDefault="0098530D" w:rsidP="00552502">
            <w:pPr>
              <w:pStyle w:val="Texto"/>
              <w:spacing w:line="217" w:lineRule="exact"/>
              <w:ind w:firstLine="0"/>
              <w:jc w:val="center"/>
              <w:rPr>
                <w:b/>
              </w:rPr>
            </w:pPr>
            <w:r w:rsidRPr="00AB7CA1">
              <w:rPr>
                <w:b/>
              </w:rPr>
              <w:t>Primer antecedente</w:t>
            </w:r>
          </w:p>
        </w:tc>
      </w:tr>
      <w:tr w:rsidR="0098530D" w:rsidRPr="00AB7CA1" w14:paraId="4CA6E63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F2EE6E1" w14:textId="77777777" w:rsidR="0098530D" w:rsidRPr="00AB7CA1" w:rsidRDefault="0098530D" w:rsidP="00552502">
            <w:pPr>
              <w:pStyle w:val="Texto"/>
              <w:spacing w:line="217" w:lineRule="exact"/>
              <w:ind w:firstLine="0"/>
            </w:pPr>
            <w:r w:rsidRPr="00AB7CA1">
              <w:t>29/2001/LFD</w:t>
            </w:r>
          </w:p>
        </w:tc>
        <w:tc>
          <w:tcPr>
            <w:tcW w:w="3237" w:type="pct"/>
            <w:tcBorders>
              <w:top w:val="single" w:sz="6" w:space="0" w:color="auto"/>
              <w:left w:val="single" w:sz="6" w:space="0" w:color="auto"/>
              <w:bottom w:val="single" w:sz="6" w:space="0" w:color="auto"/>
              <w:right w:val="single" w:sz="6" w:space="0" w:color="auto"/>
            </w:tcBorders>
          </w:tcPr>
          <w:p w14:paraId="555C2FE9" w14:textId="77777777" w:rsidR="0098530D" w:rsidRPr="00AB7CA1" w:rsidRDefault="0098530D" w:rsidP="00552502">
            <w:pPr>
              <w:pStyle w:val="Texto"/>
              <w:spacing w:line="217" w:lineRule="exact"/>
              <w:ind w:firstLine="0"/>
            </w:pPr>
            <w:r w:rsidRPr="00AB7CA1">
              <w:t xml:space="preserve">Oficio 325-SAT-A-31123 de 14 de septiembre de 2001, mediante el cual se da a conocer la nueva Compilación de Criterios Normativos 2001. </w:t>
            </w:r>
          </w:p>
        </w:tc>
      </w:tr>
    </w:tbl>
    <w:p w14:paraId="39DBC83E" w14:textId="77777777" w:rsidR="0098530D" w:rsidRPr="00AB7CA1" w:rsidRDefault="0098530D" w:rsidP="0098530D">
      <w:pPr>
        <w:pStyle w:val="Texto"/>
        <w:spacing w:line="217" w:lineRule="exact"/>
        <w:ind w:left="2736" w:hanging="1152"/>
        <w:rPr>
          <w:b/>
        </w:rPr>
      </w:pPr>
    </w:p>
    <w:p w14:paraId="3F9DC5B2" w14:textId="77777777" w:rsidR="0098530D" w:rsidRPr="00AB7CA1" w:rsidRDefault="0098530D" w:rsidP="0098530D">
      <w:pPr>
        <w:pStyle w:val="Texto"/>
        <w:spacing w:line="217" w:lineRule="exact"/>
        <w:ind w:left="1584" w:hanging="720"/>
        <w:rPr>
          <w:b/>
        </w:rPr>
      </w:pPr>
      <w:r w:rsidRPr="00AB7CA1">
        <w:rPr>
          <w:b/>
        </w:rPr>
        <w:t>VI.</w:t>
      </w:r>
      <w:r w:rsidRPr="00AB7CA1">
        <w:rPr>
          <w:b/>
        </w:rPr>
        <w:tab/>
        <w:t>Criterios de la LISH</w:t>
      </w:r>
    </w:p>
    <w:p w14:paraId="22B608F8" w14:textId="77777777" w:rsidR="0098530D" w:rsidRPr="00AB7CA1" w:rsidRDefault="0098530D" w:rsidP="0098530D">
      <w:pPr>
        <w:pStyle w:val="Texto"/>
        <w:spacing w:line="218" w:lineRule="exact"/>
        <w:ind w:left="2736" w:hanging="1152"/>
        <w:rPr>
          <w:b/>
        </w:rPr>
      </w:pPr>
      <w:r w:rsidRPr="00AB7CA1">
        <w:rPr>
          <w:b/>
        </w:rPr>
        <w:t>1/LISH/N</w:t>
      </w:r>
      <w:r w:rsidRPr="00AB7CA1">
        <w:rPr>
          <w:b/>
        </w:rPr>
        <w:tab/>
        <w:t>Devoluciones, descuentos y bonificaciones de periodos anteriores al 1 de enero de 2015. No son aplicables para los derechos previstos en el título tercero de la LISH para los asignatarios.</w:t>
      </w:r>
    </w:p>
    <w:p w14:paraId="3C82DAA0" w14:textId="77777777" w:rsidR="0098530D" w:rsidRPr="00AB7CA1" w:rsidRDefault="0098530D" w:rsidP="0098530D">
      <w:pPr>
        <w:pStyle w:val="Texto"/>
        <w:spacing w:line="218" w:lineRule="exact"/>
        <w:ind w:left="2736" w:hanging="1152"/>
      </w:pPr>
      <w:r w:rsidRPr="00AB7CA1">
        <w:rPr>
          <w:b/>
        </w:rPr>
        <w:tab/>
      </w:r>
      <w:r w:rsidRPr="00AB7CA1">
        <w:t>El artículo segundo, fracción II del Decreto por el que se expide la LISH, se reforman, adicionan y derogan diversas disposiciones de la LFD y de la LCF y se expide la Ley del FMP, publicado en el DOF el 11 de agosto de 2014, dispone que durante el ejercicio fiscal 2014, Petróleos Mexicanos y sus organismos subsidiarios pagarán los derechos previstos en los artículos 254 a 261 de la LFD vigentes en tal ejercicio por las actividades que realicen al amparo de sus asignaciones, y que a partir del 1 de enero de 2015, pagarán los derechos previstos en el Título Tercero de la LISH.</w:t>
      </w:r>
    </w:p>
    <w:p w14:paraId="0309FF60" w14:textId="77777777" w:rsidR="0098530D" w:rsidRPr="00AB7CA1" w:rsidRDefault="0098530D" w:rsidP="0098530D">
      <w:pPr>
        <w:pStyle w:val="Texto"/>
        <w:spacing w:line="218" w:lineRule="exact"/>
        <w:ind w:left="2736" w:hanging="1152"/>
      </w:pPr>
      <w:r w:rsidRPr="00AB7CA1">
        <w:tab/>
        <w:t>El régimen de los derechos previstos en los artículos 254 a 261 de la LFD para el ejercicio fiscal de 2014, es distinto al régimen de los derechos previstos en el título tercero de la LISH y dichos regímenes tributarios no son complementarios entre sí.</w:t>
      </w:r>
    </w:p>
    <w:p w14:paraId="3196B1C9" w14:textId="77777777" w:rsidR="0098530D" w:rsidRPr="00AB7CA1" w:rsidRDefault="0098530D" w:rsidP="0098530D">
      <w:pPr>
        <w:pStyle w:val="Texto"/>
        <w:spacing w:line="218" w:lineRule="exact"/>
        <w:ind w:left="2736" w:hanging="1152"/>
      </w:pPr>
      <w:r w:rsidRPr="00AB7CA1">
        <w:tab/>
        <w:t>Por lo tanto, los derechos previstos en el título tercero de la LISH, vigentes a partir del 1 de enero de 2015, no deben sufrir ajustes ni modificaciones con motivo de las devoluciones, descuentos o bonificaciones correspondientes a los hidrocarburos extraídos en periodos anteriores a dicha fecha.</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4271FE40"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7D2F306E" w14:textId="77777777" w:rsidR="0098530D" w:rsidRPr="00AB7CA1" w:rsidRDefault="0098530D" w:rsidP="00552502">
            <w:pPr>
              <w:pStyle w:val="Texto"/>
              <w:spacing w:line="217"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1661D696" w14:textId="77777777" w:rsidR="0098530D" w:rsidRPr="00AB7CA1" w:rsidRDefault="0098530D" w:rsidP="00552502">
            <w:pPr>
              <w:pStyle w:val="Texto"/>
              <w:spacing w:line="217" w:lineRule="exact"/>
              <w:ind w:firstLine="0"/>
              <w:jc w:val="center"/>
              <w:rPr>
                <w:b/>
              </w:rPr>
            </w:pPr>
            <w:r w:rsidRPr="00AB7CA1">
              <w:rPr>
                <w:b/>
              </w:rPr>
              <w:t>Primer antecedente</w:t>
            </w:r>
          </w:p>
        </w:tc>
      </w:tr>
      <w:tr w:rsidR="0098530D" w:rsidRPr="00AB7CA1" w14:paraId="64E508E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2A33BB36" w14:textId="77777777" w:rsidR="0098530D" w:rsidRPr="00AB7CA1" w:rsidRDefault="0098530D" w:rsidP="00552502">
            <w:pPr>
              <w:pStyle w:val="Texto"/>
              <w:spacing w:line="217" w:lineRule="exact"/>
              <w:ind w:firstLine="0"/>
            </w:pPr>
            <w:r w:rsidRPr="00AB7CA1">
              <w:t>Tercera Resolución de Modificaciones a la RMF para 2015</w:t>
            </w:r>
          </w:p>
        </w:tc>
        <w:tc>
          <w:tcPr>
            <w:tcW w:w="3237" w:type="pct"/>
            <w:tcBorders>
              <w:top w:val="single" w:sz="6" w:space="0" w:color="auto"/>
              <w:left w:val="single" w:sz="6" w:space="0" w:color="auto"/>
              <w:bottom w:val="single" w:sz="6" w:space="0" w:color="auto"/>
              <w:right w:val="single" w:sz="6" w:space="0" w:color="auto"/>
            </w:tcBorders>
          </w:tcPr>
          <w:p w14:paraId="1DA1D7EB" w14:textId="77777777" w:rsidR="0098530D" w:rsidRPr="00AB7CA1" w:rsidRDefault="0098530D" w:rsidP="00552502">
            <w:pPr>
              <w:pStyle w:val="Texto"/>
              <w:spacing w:line="217" w:lineRule="exact"/>
              <w:ind w:firstLine="0"/>
            </w:pPr>
            <w:r w:rsidRPr="00AB7CA1">
              <w:t>Publicada en el DOF el 2 de julio de 2015, Anexo 7, publicado en el DOF el 10 de julio del 2015.</w:t>
            </w:r>
          </w:p>
        </w:tc>
      </w:tr>
    </w:tbl>
    <w:p w14:paraId="41940234" w14:textId="77777777" w:rsidR="0098530D" w:rsidRPr="00AB7CA1" w:rsidRDefault="0098530D" w:rsidP="0098530D">
      <w:pPr>
        <w:pStyle w:val="Texto"/>
        <w:spacing w:after="95"/>
        <w:ind w:left="2736" w:hanging="1152"/>
        <w:rPr>
          <w:b/>
        </w:rPr>
      </w:pPr>
      <w:r w:rsidRPr="00AB7CA1">
        <w:rPr>
          <w:b/>
        </w:rPr>
        <w:t>2/LISH/N</w:t>
      </w:r>
      <w:r w:rsidRPr="00AB7CA1">
        <w:rPr>
          <w:b/>
        </w:rPr>
        <w:tab/>
        <w:t>Porcentajes de deducción para contratistas y asignatarios. Su aplicación no constituye una opción.</w:t>
      </w:r>
    </w:p>
    <w:p w14:paraId="66254EC5" w14:textId="77777777" w:rsidR="0098530D" w:rsidRPr="00AB7CA1" w:rsidRDefault="0098530D" w:rsidP="0098530D">
      <w:pPr>
        <w:pStyle w:val="Texto"/>
        <w:spacing w:after="95"/>
        <w:ind w:left="2736" w:hanging="1152"/>
      </w:pPr>
      <w:r w:rsidRPr="00AB7CA1">
        <w:rPr>
          <w:b/>
        </w:rPr>
        <w:tab/>
      </w:r>
      <w:r w:rsidRPr="00AB7CA1">
        <w:t>Los artículos 32, apartado A, primer párrafo y 46, cuarto párrafo de la LISH, disponen que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14:paraId="404BB927" w14:textId="77777777" w:rsidR="0098530D" w:rsidRPr="00AB7CA1" w:rsidRDefault="0098530D" w:rsidP="0098530D">
      <w:pPr>
        <w:pStyle w:val="Texto"/>
        <w:spacing w:after="95"/>
        <w:ind w:left="2736" w:hanging="1152"/>
      </w:pPr>
      <w:r w:rsidRPr="00AB7CA1">
        <w:tab/>
        <w:t>Sobre el particular, los artículos 32, apartado A, primer párrafo y 46, cuarto párrafo de la LISH, no prevén como opción para dichos contribuyentes la aplicación de porcentajes menores a los previstos en tales artículos.</w:t>
      </w:r>
    </w:p>
    <w:p w14:paraId="340AE1FD" w14:textId="77777777" w:rsidR="0098530D" w:rsidRPr="00AB7CA1" w:rsidRDefault="0098530D" w:rsidP="0098530D">
      <w:pPr>
        <w:pStyle w:val="Texto"/>
        <w:spacing w:after="95"/>
        <w:ind w:left="2736" w:hanging="1152"/>
        <w:rPr>
          <w:lang w:val="es-ES_tradnl"/>
        </w:rPr>
      </w:pPr>
      <w:r w:rsidRPr="00AB7CA1">
        <w:lastRenderedPageBreak/>
        <w:tab/>
      </w:r>
      <w:r w:rsidRPr="00AB7CA1">
        <w:rPr>
          <w:lang w:val="es-ES_tradnl"/>
        </w:rPr>
        <w:t>Al respecto y de conformidad con lo establecido en el artículo 5o., primer párrafo del CFF, las disposiciones fiscales que se refieran a la determinación de la base del impuesto, son de aplicación estricta.</w:t>
      </w:r>
    </w:p>
    <w:p w14:paraId="208C7211" w14:textId="77777777" w:rsidR="0098530D" w:rsidRPr="00AB7CA1" w:rsidRDefault="0098530D" w:rsidP="0098530D">
      <w:pPr>
        <w:pStyle w:val="Texto"/>
        <w:spacing w:after="95"/>
        <w:ind w:left="2736" w:hanging="1152"/>
      </w:pPr>
      <w:r w:rsidRPr="00AB7CA1">
        <w:rPr>
          <w:lang w:val="es-ES_tradnl"/>
        </w:rPr>
        <w:tab/>
      </w:r>
      <w:r w:rsidRPr="00AB7CA1">
        <w:t>En ese sentido, los contratistas y asignatarios deberán aplicar los porcentajes establecidos por los artículos 32, apartado A, primer párrafo y 46, cuarto párrafo de la LISH, sin que sea válido la aplicación de un porcentaje menor.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5554579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4700B0C5" w14:textId="77777777" w:rsidR="0098530D" w:rsidRPr="00AB7CA1" w:rsidRDefault="0098530D" w:rsidP="00552502">
            <w:pPr>
              <w:pStyle w:val="Texto"/>
              <w:spacing w:after="95"/>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008A510F" w14:textId="77777777" w:rsidR="0098530D" w:rsidRPr="00AB7CA1" w:rsidRDefault="0098530D" w:rsidP="00552502">
            <w:pPr>
              <w:pStyle w:val="Texto"/>
              <w:spacing w:after="95"/>
              <w:ind w:firstLine="0"/>
              <w:jc w:val="center"/>
              <w:rPr>
                <w:b/>
              </w:rPr>
            </w:pPr>
            <w:r w:rsidRPr="00AB7CA1">
              <w:rPr>
                <w:b/>
              </w:rPr>
              <w:t>Primer antecedente</w:t>
            </w:r>
          </w:p>
        </w:tc>
      </w:tr>
      <w:tr w:rsidR="0098530D" w:rsidRPr="00AB7CA1" w14:paraId="2BBC48F0"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FB1C721" w14:textId="77777777" w:rsidR="0098530D" w:rsidRPr="00AB7CA1" w:rsidRDefault="0098530D" w:rsidP="00552502">
            <w:pPr>
              <w:pStyle w:val="Texto"/>
              <w:spacing w:after="95"/>
              <w:ind w:firstLine="0"/>
            </w:pPr>
            <w:r w:rsidRPr="00AB7CA1">
              <w:t>Cuarta Resolución de Modificaciones a la RMF para 2015</w:t>
            </w:r>
          </w:p>
        </w:tc>
        <w:tc>
          <w:tcPr>
            <w:tcW w:w="3237" w:type="pct"/>
            <w:tcBorders>
              <w:top w:val="single" w:sz="6" w:space="0" w:color="auto"/>
              <w:left w:val="single" w:sz="6" w:space="0" w:color="auto"/>
              <w:bottom w:val="single" w:sz="6" w:space="0" w:color="auto"/>
              <w:right w:val="single" w:sz="6" w:space="0" w:color="auto"/>
            </w:tcBorders>
          </w:tcPr>
          <w:p w14:paraId="0230F88F" w14:textId="77777777" w:rsidR="0098530D" w:rsidRPr="00AB7CA1" w:rsidRDefault="0098530D" w:rsidP="00552502">
            <w:pPr>
              <w:pStyle w:val="Texto"/>
              <w:spacing w:after="95"/>
              <w:ind w:firstLine="0"/>
            </w:pPr>
            <w:r w:rsidRPr="00AB7CA1">
              <w:t>Publicada en el DOF el 29 de septiembre de 2015, Anexo 7, publicado en la misma fecha de la Modificación.</w:t>
            </w:r>
          </w:p>
        </w:tc>
      </w:tr>
    </w:tbl>
    <w:p w14:paraId="7146E180" w14:textId="77777777" w:rsidR="0098530D" w:rsidRPr="00AB7CA1" w:rsidRDefault="0098530D" w:rsidP="0098530D">
      <w:pPr>
        <w:pStyle w:val="Texto"/>
        <w:spacing w:after="95"/>
        <w:ind w:left="2736" w:hanging="1152"/>
        <w:rPr>
          <w:b/>
        </w:rPr>
      </w:pPr>
    </w:p>
    <w:p w14:paraId="4745D2D3" w14:textId="77777777" w:rsidR="0098530D" w:rsidRPr="00AB7CA1" w:rsidRDefault="0098530D" w:rsidP="0098530D">
      <w:pPr>
        <w:pStyle w:val="Texto"/>
        <w:spacing w:after="95"/>
        <w:ind w:left="2736" w:hanging="1152"/>
        <w:rPr>
          <w:b/>
        </w:rPr>
      </w:pPr>
      <w:r w:rsidRPr="00AB7CA1">
        <w:rPr>
          <w:b/>
        </w:rPr>
        <w:t>3/LISH/N</w:t>
      </w:r>
      <w:r w:rsidRPr="00AB7CA1">
        <w:rPr>
          <w:b/>
        </w:rPr>
        <w:tab/>
        <w:t>Porcentajes de deducción para contratistas y asignatarios. No resultan aplicables para otro tipo de contribuyentes.</w:t>
      </w:r>
    </w:p>
    <w:p w14:paraId="5CB5D512" w14:textId="77777777" w:rsidR="0098530D" w:rsidRPr="00AB7CA1" w:rsidRDefault="0098530D" w:rsidP="0098530D">
      <w:pPr>
        <w:pStyle w:val="Texto"/>
        <w:spacing w:after="95"/>
        <w:ind w:left="2736" w:hanging="1152"/>
      </w:pPr>
      <w:r w:rsidRPr="00AB7CA1">
        <w:rPr>
          <w:b/>
        </w:rPr>
        <w:tab/>
      </w:r>
      <w:r w:rsidRPr="00AB7CA1">
        <w:t>Los artículos 32, apartado A, primer párrafo y 46, cuarto párrafo de la LISH, disponen que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14:paraId="46BC0D5F" w14:textId="77777777" w:rsidR="0098530D" w:rsidRPr="00AB7CA1" w:rsidRDefault="0098530D" w:rsidP="0098530D">
      <w:pPr>
        <w:pStyle w:val="Texto"/>
        <w:spacing w:after="95"/>
        <w:ind w:left="2736" w:hanging="1152"/>
      </w:pPr>
      <w:r w:rsidRPr="00AB7CA1">
        <w:tab/>
        <w:t>Sobre el particular, los artículos 32, apartado A, primer párrafo y 46, cuarto párrafo de la LISH, no contemplan a contribuyentes distintos de los contratistas y asignatarios aludidos.</w:t>
      </w:r>
    </w:p>
    <w:p w14:paraId="3759DCB0" w14:textId="77777777" w:rsidR="0098530D" w:rsidRPr="00AB7CA1" w:rsidRDefault="0098530D" w:rsidP="0098530D">
      <w:pPr>
        <w:pStyle w:val="Texto"/>
        <w:spacing w:after="95"/>
        <w:ind w:left="2736" w:hanging="1152"/>
      </w:pPr>
      <w:r w:rsidRPr="00AB7CA1">
        <w:tab/>
        <w:t>Por lo tanto, los contratistas y asignatarios a que se refiere la LISH son los únicos contribuyentes que deberán aplicar los porcentajes establecidos por los artículos 32, apartado A, primer párrafo y 46, cuarto párrafo de dicha ley.</w:t>
      </w:r>
    </w:p>
    <w:p w14:paraId="0D742A5A" w14:textId="77777777" w:rsidR="0098530D" w:rsidRPr="00AB7CA1" w:rsidRDefault="0098530D" w:rsidP="0098530D">
      <w:pPr>
        <w:pStyle w:val="Texto"/>
        <w:spacing w:after="95"/>
        <w:ind w:left="2736" w:hanging="1152"/>
        <w:rPr>
          <w:lang w:val="es-ES_tradnl"/>
        </w:rPr>
      </w:pPr>
      <w:r w:rsidRPr="00AB7CA1">
        <w:tab/>
      </w:r>
      <w:r w:rsidRPr="00AB7CA1">
        <w:rPr>
          <w:lang w:val="es-ES_tradnl"/>
        </w:rPr>
        <w:t>Lo anterior, toda vez que de conformidad con lo establecido en el artículo 5o., primer párrafo del CFF, las disposiciones fiscales que se refieran a los sujetos del impuesto, son de aplicación estricta.</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7298CDC"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3C896D14" w14:textId="77777777" w:rsidR="0098530D" w:rsidRPr="00AB7CA1" w:rsidRDefault="0098530D" w:rsidP="00552502">
            <w:pPr>
              <w:pStyle w:val="Texto"/>
              <w:spacing w:after="95"/>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7F2A5C72" w14:textId="77777777" w:rsidR="0098530D" w:rsidRPr="00AB7CA1" w:rsidRDefault="0098530D" w:rsidP="00552502">
            <w:pPr>
              <w:pStyle w:val="Texto"/>
              <w:spacing w:after="95"/>
              <w:ind w:firstLine="0"/>
              <w:jc w:val="center"/>
              <w:rPr>
                <w:b/>
              </w:rPr>
            </w:pPr>
            <w:r w:rsidRPr="00AB7CA1">
              <w:rPr>
                <w:b/>
              </w:rPr>
              <w:t>Primer antecedente</w:t>
            </w:r>
          </w:p>
        </w:tc>
      </w:tr>
      <w:tr w:rsidR="0098530D" w:rsidRPr="00AB7CA1" w14:paraId="51779BF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00D88BF" w14:textId="77777777" w:rsidR="0098530D" w:rsidRPr="00AB7CA1" w:rsidRDefault="0098530D" w:rsidP="00552502">
            <w:pPr>
              <w:pStyle w:val="Texto"/>
              <w:spacing w:after="95"/>
              <w:ind w:firstLine="0"/>
            </w:pPr>
            <w:r w:rsidRPr="00AB7CA1">
              <w:t>Cuarta Resolución de Modificaciones a la RMF para 2015</w:t>
            </w:r>
          </w:p>
        </w:tc>
        <w:tc>
          <w:tcPr>
            <w:tcW w:w="3237" w:type="pct"/>
            <w:tcBorders>
              <w:top w:val="single" w:sz="6" w:space="0" w:color="auto"/>
              <w:left w:val="single" w:sz="6" w:space="0" w:color="auto"/>
              <w:bottom w:val="single" w:sz="6" w:space="0" w:color="auto"/>
              <w:right w:val="single" w:sz="6" w:space="0" w:color="auto"/>
            </w:tcBorders>
          </w:tcPr>
          <w:p w14:paraId="1243E367" w14:textId="77777777" w:rsidR="0098530D" w:rsidRPr="00AB7CA1" w:rsidRDefault="0098530D" w:rsidP="00552502">
            <w:pPr>
              <w:pStyle w:val="Texto"/>
              <w:spacing w:after="95"/>
              <w:ind w:firstLine="0"/>
            </w:pPr>
            <w:r w:rsidRPr="00AB7CA1">
              <w:t>Publicada en el DOF el 29 de septiembre de 2015, Anexo 7, publicado en la misma fecha de la Modificación.</w:t>
            </w:r>
          </w:p>
        </w:tc>
      </w:tr>
    </w:tbl>
    <w:p w14:paraId="74A8343D" w14:textId="77777777" w:rsidR="0098530D" w:rsidRPr="00AB7CA1" w:rsidRDefault="0098530D" w:rsidP="0098530D">
      <w:pPr>
        <w:pStyle w:val="Texto"/>
        <w:spacing w:after="95"/>
        <w:ind w:left="2736" w:hanging="1152"/>
        <w:rPr>
          <w:b/>
        </w:rPr>
      </w:pPr>
    </w:p>
    <w:p w14:paraId="73E9079C" w14:textId="77777777" w:rsidR="0098530D" w:rsidRPr="00AB7CA1" w:rsidRDefault="0098530D" w:rsidP="0098530D">
      <w:pPr>
        <w:pStyle w:val="Texto"/>
        <w:spacing w:after="95"/>
        <w:ind w:left="2736" w:hanging="1152"/>
        <w:rPr>
          <w:b/>
        </w:rPr>
      </w:pPr>
      <w:r w:rsidRPr="00AB7CA1">
        <w:rPr>
          <w:b/>
        </w:rPr>
        <w:t>4/LISH/N</w:t>
      </w:r>
      <w:r w:rsidRPr="00AB7CA1">
        <w:rPr>
          <w:b/>
        </w:rPr>
        <w:tab/>
        <w:t>Erogaciones necesarias para la exploración, extracción, transportación o entrega de hidrocarburos. Constituyen costos y gastos deducibles para la determinación del derecho por la utilidad compartida.</w:t>
      </w:r>
    </w:p>
    <w:p w14:paraId="4DD5EAD3" w14:textId="77777777" w:rsidR="0098530D" w:rsidRPr="00AB7CA1" w:rsidRDefault="0098530D" w:rsidP="0098530D">
      <w:pPr>
        <w:pStyle w:val="Texto"/>
        <w:spacing w:after="95"/>
        <w:ind w:left="2736" w:hanging="1152"/>
      </w:pPr>
      <w:r w:rsidRPr="00AB7CA1">
        <w:rPr>
          <w:b/>
        </w:rPr>
        <w:tab/>
      </w:r>
      <w:r w:rsidRPr="00AB7CA1">
        <w:t>El artículo 40, fracción IV, primera oración de la LISH dispone que, para la determinación de la base del derecho por la utilidad compartida, serán deducibles los costos y gastos, considerándose para tales efectos las erogaciones necesarias para la extracción de los yacimientos de petróleo o gas natural determinados de conformidad con las Normas de Información Financiera Mexicanas, excepto las inversiones a que se refieren las fracciones I, II y III de dicho artículo.</w:t>
      </w:r>
    </w:p>
    <w:p w14:paraId="229E83EF" w14:textId="77777777" w:rsidR="0098530D" w:rsidRPr="00AB7CA1" w:rsidRDefault="0098530D" w:rsidP="0098530D">
      <w:pPr>
        <w:pStyle w:val="Texto"/>
        <w:spacing w:line="230" w:lineRule="exact"/>
        <w:ind w:left="2736" w:hanging="1152"/>
      </w:pPr>
      <w:r w:rsidRPr="00AB7CA1">
        <w:tab/>
        <w:t>Por su parte, la segunda oración de la fracción en comento establece que los únicos costos y gastos que se podrán deducir serán los de exploración, transportación o entrega de los hidrocarburos.</w:t>
      </w:r>
    </w:p>
    <w:p w14:paraId="36383527" w14:textId="77777777" w:rsidR="0098530D" w:rsidRPr="00AB7CA1" w:rsidRDefault="0098530D" w:rsidP="0098530D">
      <w:pPr>
        <w:pStyle w:val="Texto"/>
        <w:spacing w:line="230" w:lineRule="exact"/>
        <w:ind w:left="2736" w:hanging="1152"/>
      </w:pPr>
      <w:r w:rsidRPr="00AB7CA1">
        <w:tab/>
        <w:t xml:space="preserve">Al respecto, las secciones VI y VII del Capítulo II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por la Secretaría de Hacienda y Crédito Público en el DOF el 6 de marzo de 2015 y sus modificaciones publicadas el 6 de julio de 2015 y 28 de noviembre de 2016, </w:t>
      </w:r>
      <w:r w:rsidRPr="00AB7CA1">
        <w:lastRenderedPageBreak/>
        <w:t>establecen diversos lineamientos respecto a los costos, gastos e inversiones deducibles para los efectos del derecho por la utilidad compartida.</w:t>
      </w:r>
    </w:p>
    <w:p w14:paraId="255BDE07" w14:textId="77777777" w:rsidR="0098530D" w:rsidRPr="00AB7CA1" w:rsidRDefault="0098530D" w:rsidP="0098530D">
      <w:pPr>
        <w:pStyle w:val="Texto"/>
        <w:spacing w:line="230" w:lineRule="exact"/>
        <w:ind w:left="2736" w:hanging="1152"/>
      </w:pPr>
      <w:r w:rsidRPr="00AB7CA1">
        <w:tab/>
        <w:t>De la interpretación armónica del artículo 40, fracción IV, primera y segunda oraciones de la LISH, se desprende que para la determinación de la base del derecho por la utilidad compartida, serán deducibles tanto las erogaciones necesarias para la extracción de los yacimientos de petróleo o gas natural, a excepción de las inversiones expresamente señaladas, como los costos y gastos por la exploración, transportación o entrega de los hidrocarburos, siempre que se cumplan los lineamientos referidos y la demás normatividad que resulte aplicable.</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E00D1D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061899C" w14:textId="77777777" w:rsidR="0098530D" w:rsidRPr="00AB7CA1" w:rsidRDefault="0098530D" w:rsidP="00552502">
            <w:pPr>
              <w:pStyle w:val="Texto"/>
              <w:spacing w:line="230"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48E9020F" w14:textId="77777777" w:rsidR="0098530D" w:rsidRPr="00AB7CA1" w:rsidRDefault="0098530D" w:rsidP="00552502">
            <w:pPr>
              <w:pStyle w:val="Texto"/>
              <w:spacing w:line="230" w:lineRule="exact"/>
              <w:ind w:firstLine="0"/>
              <w:jc w:val="center"/>
              <w:rPr>
                <w:b/>
              </w:rPr>
            </w:pPr>
            <w:r w:rsidRPr="00AB7CA1">
              <w:rPr>
                <w:b/>
              </w:rPr>
              <w:t>Primer antecedente</w:t>
            </w:r>
          </w:p>
        </w:tc>
      </w:tr>
      <w:tr w:rsidR="0098530D" w:rsidRPr="00AB7CA1" w14:paraId="40973858"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07FF202" w14:textId="77777777" w:rsidR="0098530D" w:rsidRPr="00AB7CA1" w:rsidRDefault="0098530D" w:rsidP="00552502">
            <w:pPr>
              <w:pStyle w:val="Texto"/>
              <w:spacing w:line="230" w:lineRule="exact"/>
              <w:ind w:firstLine="0"/>
            </w:pPr>
            <w:r w:rsidRPr="00AB7CA1">
              <w:t>Cuarta Resolución de Modificaciones a la RMF para 2015</w:t>
            </w:r>
          </w:p>
        </w:tc>
        <w:tc>
          <w:tcPr>
            <w:tcW w:w="3237" w:type="pct"/>
            <w:tcBorders>
              <w:top w:val="single" w:sz="6" w:space="0" w:color="auto"/>
              <w:left w:val="single" w:sz="6" w:space="0" w:color="auto"/>
              <w:bottom w:val="single" w:sz="6" w:space="0" w:color="auto"/>
              <w:right w:val="single" w:sz="6" w:space="0" w:color="auto"/>
            </w:tcBorders>
          </w:tcPr>
          <w:p w14:paraId="7774380D" w14:textId="77777777" w:rsidR="0098530D" w:rsidRPr="00AB7CA1" w:rsidRDefault="0098530D" w:rsidP="00552502">
            <w:pPr>
              <w:pStyle w:val="Texto"/>
              <w:spacing w:line="230" w:lineRule="exact"/>
              <w:ind w:firstLine="0"/>
            </w:pPr>
            <w:r w:rsidRPr="00AB7CA1">
              <w:t>Publicada en el DOF el 29 de septiembre de 2015 Anexo 7, publicado en la misma fecha de la Modificación.</w:t>
            </w:r>
          </w:p>
        </w:tc>
      </w:tr>
    </w:tbl>
    <w:p w14:paraId="045957EC" w14:textId="77777777" w:rsidR="0098530D" w:rsidRPr="00AB7CA1" w:rsidRDefault="0098530D" w:rsidP="0098530D">
      <w:pPr>
        <w:pStyle w:val="Texto"/>
        <w:spacing w:line="230" w:lineRule="exact"/>
        <w:ind w:left="2736" w:hanging="1152"/>
        <w:rPr>
          <w:b/>
        </w:rPr>
      </w:pPr>
    </w:p>
    <w:p w14:paraId="728EA4F0" w14:textId="77777777" w:rsidR="0098530D" w:rsidRPr="00AB7CA1" w:rsidRDefault="0098530D" w:rsidP="0098530D">
      <w:pPr>
        <w:pStyle w:val="Texto"/>
        <w:spacing w:line="230" w:lineRule="exact"/>
        <w:ind w:left="2736" w:hanging="1152"/>
      </w:pPr>
      <w:r w:rsidRPr="00AB7CA1">
        <w:rPr>
          <w:b/>
        </w:rPr>
        <w:t>5/LISH/N</w:t>
      </w:r>
      <w:r w:rsidRPr="00AB7CA1">
        <w:rPr>
          <w:b/>
        </w:rPr>
        <w:tab/>
        <w:t>Derecho de exploración de hidrocarburos. Deducibilidad para la determinación de la base del derecho por la utilidad compartida.</w:t>
      </w:r>
    </w:p>
    <w:p w14:paraId="655A91D5" w14:textId="77777777" w:rsidR="0098530D" w:rsidRPr="00AB7CA1" w:rsidRDefault="0098530D" w:rsidP="0098530D">
      <w:pPr>
        <w:pStyle w:val="Texto"/>
        <w:spacing w:line="230" w:lineRule="exact"/>
        <w:ind w:left="2736" w:hanging="1152"/>
      </w:pPr>
      <w:r w:rsidRPr="00AB7CA1">
        <w:tab/>
        <w:t>El artículo 42, fracción II de la LISH establece que para el cálculo de los pagos provisionales mensuales del derecho por la utilidad compartida, se podrá disminuir del valor de los hidrocarburos extraídos en el periodo de que se trate, el derecho de exploración de hidrocarburos efectivamente pagado.</w:t>
      </w:r>
    </w:p>
    <w:p w14:paraId="5E9981F4" w14:textId="77777777" w:rsidR="0098530D" w:rsidRPr="00AB7CA1" w:rsidRDefault="0098530D" w:rsidP="0098530D">
      <w:pPr>
        <w:pStyle w:val="Texto"/>
        <w:spacing w:line="230" w:lineRule="exact"/>
        <w:ind w:left="2736" w:hanging="1152"/>
      </w:pPr>
      <w:r w:rsidRPr="00AB7CA1">
        <w:tab/>
        <w:t>Sin embargo, para los efectos del pago anual del derecho por la utilidad compartida, el artículo 40 de la LISH no autoriza como deducible el pago del derecho de exploración de hidrocarburos; de igual forma, no existe otra disposición jurídica que autorice la deducción de dicho concepto para la determinación de la base o la declaración de pago anual, del derecho por la utilidad compartida.</w:t>
      </w:r>
    </w:p>
    <w:p w14:paraId="421B44DB" w14:textId="77777777" w:rsidR="0098530D" w:rsidRPr="00AB7CA1" w:rsidRDefault="0098530D" w:rsidP="0098530D">
      <w:pPr>
        <w:pStyle w:val="Texto"/>
        <w:spacing w:line="230" w:lineRule="exact"/>
        <w:ind w:left="2736" w:hanging="1152"/>
      </w:pPr>
      <w:r w:rsidRPr="00AB7CA1">
        <w:tab/>
        <w:t>Por lo tanto, el derecho de exploración de hidrocarburos efectivamente pagado únicamente se podrá disminuir para el cálculo de los pagos provisionales mensuales del derecho por la utilidad compartida en los términos del artículo 42, fracción II de la LISH, pero no será deducible para la determinación de la base anual de este último derecho en los términos del artículo 40 de la LISH.</w:t>
      </w:r>
    </w:p>
    <w:p w14:paraId="2B2D6FE2" w14:textId="77777777" w:rsidR="0098530D" w:rsidRPr="00AB7CA1" w:rsidRDefault="0098530D" w:rsidP="0098530D">
      <w:pPr>
        <w:pStyle w:val="Texto"/>
        <w:spacing w:line="230" w:lineRule="exact"/>
        <w:ind w:left="2736" w:hanging="1152"/>
        <w:rPr>
          <w:lang w:val="es-ES_tradnl"/>
        </w:rPr>
      </w:pPr>
      <w:r w:rsidRPr="00AB7CA1">
        <w:tab/>
      </w:r>
      <w:r w:rsidRPr="00AB7CA1">
        <w:rPr>
          <w:lang w:val="es-ES_tradnl"/>
        </w:rPr>
        <w:t>Lo anterior, toda vez que de conformidad con lo establecido en el artículo 5o., primer párrafo del CFF, las disposiciones fiscales que se refieran a la determinación de la base del impuesto, son de aplicación estricta.</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5F3EB53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092A0147" w14:textId="77777777" w:rsidR="0098530D" w:rsidRPr="00AB7CA1" w:rsidRDefault="0098530D" w:rsidP="00552502">
            <w:pPr>
              <w:pStyle w:val="Texto"/>
              <w:spacing w:line="230"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B7FC1E8" w14:textId="77777777" w:rsidR="0098530D" w:rsidRPr="00AB7CA1" w:rsidRDefault="0098530D" w:rsidP="00552502">
            <w:pPr>
              <w:pStyle w:val="Texto"/>
              <w:spacing w:line="230" w:lineRule="exact"/>
              <w:ind w:firstLine="0"/>
              <w:jc w:val="center"/>
              <w:rPr>
                <w:b/>
              </w:rPr>
            </w:pPr>
            <w:r w:rsidRPr="00AB7CA1">
              <w:rPr>
                <w:b/>
              </w:rPr>
              <w:t>Primer antecedente</w:t>
            </w:r>
          </w:p>
        </w:tc>
      </w:tr>
      <w:tr w:rsidR="0098530D" w:rsidRPr="00AB7CA1" w14:paraId="5E975B2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3BA5028" w14:textId="77777777" w:rsidR="0098530D" w:rsidRPr="00AB7CA1" w:rsidRDefault="0098530D" w:rsidP="00552502">
            <w:pPr>
              <w:pStyle w:val="Texto"/>
              <w:spacing w:line="230" w:lineRule="exact"/>
              <w:ind w:firstLine="0"/>
            </w:pPr>
            <w:r w:rsidRPr="00AB7CA1">
              <w:t>Cuarta Resolución de Modificaciones a la RMF para 2015</w:t>
            </w:r>
          </w:p>
        </w:tc>
        <w:tc>
          <w:tcPr>
            <w:tcW w:w="3237" w:type="pct"/>
            <w:tcBorders>
              <w:top w:val="single" w:sz="6" w:space="0" w:color="auto"/>
              <w:left w:val="single" w:sz="6" w:space="0" w:color="auto"/>
              <w:bottom w:val="single" w:sz="6" w:space="0" w:color="auto"/>
              <w:right w:val="single" w:sz="6" w:space="0" w:color="auto"/>
            </w:tcBorders>
          </w:tcPr>
          <w:p w14:paraId="1DA1ADDB" w14:textId="77777777" w:rsidR="0098530D" w:rsidRPr="00AB7CA1" w:rsidRDefault="0098530D" w:rsidP="00552502">
            <w:pPr>
              <w:pStyle w:val="Texto"/>
              <w:spacing w:line="230" w:lineRule="exact"/>
              <w:ind w:firstLine="0"/>
            </w:pPr>
            <w:r w:rsidRPr="00AB7CA1">
              <w:t>Publicada en el DOF el 29 de septiembre de 2015, Anexo 7, publicado en la misma fecha de la Modificación.</w:t>
            </w:r>
          </w:p>
        </w:tc>
      </w:tr>
    </w:tbl>
    <w:p w14:paraId="6F9215DA" w14:textId="77777777" w:rsidR="0098530D" w:rsidRPr="00AB7CA1" w:rsidRDefault="0098530D" w:rsidP="0098530D">
      <w:pPr>
        <w:pStyle w:val="Texto"/>
        <w:spacing w:line="233" w:lineRule="exact"/>
        <w:ind w:left="2736" w:hanging="1152"/>
        <w:rPr>
          <w:b/>
        </w:rPr>
      </w:pPr>
      <w:r w:rsidRPr="00AB7CA1">
        <w:rPr>
          <w:b/>
          <w:lang w:val="es-ES_tradnl"/>
        </w:rPr>
        <w:t>6</w:t>
      </w:r>
      <w:r w:rsidRPr="00AB7CA1">
        <w:rPr>
          <w:b/>
        </w:rPr>
        <w:t>/LISH/N</w:t>
      </w:r>
      <w:r w:rsidRPr="00AB7CA1">
        <w:rPr>
          <w:b/>
        </w:rPr>
        <w:tab/>
        <w:t>Capitalización delgada. Su excepción sólo es aplicable para los asignatarios y contratistas a que se refiere la Ley de Hidrocarburos.</w:t>
      </w:r>
    </w:p>
    <w:p w14:paraId="525D4F18" w14:textId="77777777" w:rsidR="0098530D" w:rsidRPr="00AB7CA1" w:rsidRDefault="0098530D" w:rsidP="0098530D">
      <w:pPr>
        <w:pStyle w:val="Texto"/>
        <w:spacing w:line="233" w:lineRule="exact"/>
        <w:ind w:left="2736" w:hanging="1152"/>
      </w:pPr>
      <w:r w:rsidRPr="00AB7CA1">
        <w:rPr>
          <w:b/>
        </w:rPr>
        <w:tab/>
      </w:r>
      <w:r w:rsidRPr="00AB7CA1">
        <w:t>El artículo 28, fracción XXVII, séptimo párrafo de la Ley del ISR dispone que no se incluirán dentro de las deudas que devengan intereses a cargo del contribuyente para el cálculo del monto en exceso de ellas al triple de su capital contable, entre otras, las contraídas para la construcción, operación o mantenimiento de infraestructura productiva vinculada con áreas estratégicas para el país.</w:t>
      </w:r>
    </w:p>
    <w:p w14:paraId="60B03225" w14:textId="77777777" w:rsidR="0098530D" w:rsidRPr="00AB7CA1" w:rsidRDefault="0098530D" w:rsidP="0098530D">
      <w:pPr>
        <w:pStyle w:val="Texto"/>
        <w:spacing w:line="233" w:lineRule="exact"/>
        <w:ind w:left="2736" w:hanging="1152"/>
      </w:pPr>
      <w:r w:rsidRPr="00AB7CA1">
        <w:lastRenderedPageBreak/>
        <w:tab/>
        <w:t>El artículo 64 del Reglamento de la Ley del ISR señala que para los efectos de la disposición a que se refiere el párrafo anterior se considerarán áreas estratégicas para el país, aquéllas a que se refiere el artículo 5o. de la Ley de Inversión Extranjera.</w:t>
      </w:r>
    </w:p>
    <w:p w14:paraId="62809AE4" w14:textId="77777777" w:rsidR="0098530D" w:rsidRPr="00AB7CA1" w:rsidRDefault="0098530D" w:rsidP="0098530D">
      <w:pPr>
        <w:pStyle w:val="Texto"/>
        <w:spacing w:line="233" w:lineRule="exact"/>
        <w:ind w:left="2736" w:hanging="1152"/>
      </w:pPr>
      <w:r w:rsidRPr="00AB7CA1">
        <w:tab/>
        <w:t>El artículo 5o., fracción I de la Ley de Inversión Extranjera considera como una de tales áreas estratégicas la exploración y extracción del petróleo y de los demás hidrocarburos, en los términos de los artículos 27, séptimo párrafo y 28, cuarto párrafo de la Constitución Política de los Estados Unidos Mexicanos y la Ley reglamentaria respectiva.</w:t>
      </w:r>
    </w:p>
    <w:p w14:paraId="7AC31AC8" w14:textId="77777777" w:rsidR="0098530D" w:rsidRPr="00AB7CA1" w:rsidRDefault="0098530D" w:rsidP="0098530D">
      <w:pPr>
        <w:pStyle w:val="Texto"/>
        <w:spacing w:line="233" w:lineRule="exact"/>
        <w:ind w:left="2736" w:hanging="1152"/>
      </w:pPr>
      <w:r w:rsidRPr="00AB7CA1">
        <w:tab/>
        <w:t>El artículo 1, primer párrafo de la Ley de Hidrocarburos señala que dicha ley es reglamentaria de los artículos 25, cuarto párrafo; 27, séptimo párrafo y 28, cuarto párrafo de tal Constitución y dispone, en su artículo 5o., primer párrafo, que sólo la Nación llevará a cabo las actividades de exploración y extracción de hidrocarburos, por conducto de los asignatarios y contratistas a que se refiere la ley en comento.</w:t>
      </w:r>
    </w:p>
    <w:p w14:paraId="29E75176" w14:textId="77777777" w:rsidR="0098530D" w:rsidRPr="00AB7CA1" w:rsidRDefault="0098530D" w:rsidP="0098530D">
      <w:pPr>
        <w:pStyle w:val="Texto"/>
        <w:spacing w:line="233" w:lineRule="exact"/>
        <w:ind w:left="2736" w:hanging="1152"/>
      </w:pPr>
      <w:r w:rsidRPr="00AB7CA1">
        <w:tab/>
        <w:t>Por lo tanto, la excepción referida en el primer párrafo del presente criterio únicamente es aplicable a los asignatarios y contratistas a que se refiere la LISH, respecto de la construcción, operación o mantenimiento de infraestructura productiva vinculada con la exploración y extracción de hidrocarburos, en los términos del artículo 28, fracción XXVII, séptimo párrafo de la Ley del ISR.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7873FD28"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A2CD770" w14:textId="77777777" w:rsidR="0098530D" w:rsidRPr="00AB7CA1" w:rsidRDefault="0098530D" w:rsidP="00552502">
            <w:pPr>
              <w:pStyle w:val="Texto"/>
              <w:spacing w:line="233"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1551A6AD" w14:textId="77777777" w:rsidR="0098530D" w:rsidRPr="00AB7CA1" w:rsidRDefault="0098530D" w:rsidP="00552502">
            <w:pPr>
              <w:pStyle w:val="Texto"/>
              <w:spacing w:line="233" w:lineRule="exact"/>
              <w:ind w:firstLine="0"/>
              <w:jc w:val="center"/>
              <w:rPr>
                <w:b/>
              </w:rPr>
            </w:pPr>
            <w:r w:rsidRPr="00AB7CA1">
              <w:rPr>
                <w:b/>
              </w:rPr>
              <w:t>Primer antecedente</w:t>
            </w:r>
          </w:p>
        </w:tc>
      </w:tr>
      <w:tr w:rsidR="0098530D" w:rsidRPr="00AB7CA1" w14:paraId="2210C35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4C3DE38" w14:textId="77777777" w:rsidR="0098530D" w:rsidRPr="00AB7CA1" w:rsidRDefault="0098530D" w:rsidP="00552502">
            <w:pPr>
              <w:pStyle w:val="Texto"/>
              <w:spacing w:line="233" w:lineRule="exact"/>
              <w:ind w:firstLine="0"/>
            </w:pPr>
            <w:r w:rsidRPr="00AB7CA1">
              <w:t>Cuarta Resolución de Modificaciones a la RMF para 2015</w:t>
            </w:r>
          </w:p>
        </w:tc>
        <w:tc>
          <w:tcPr>
            <w:tcW w:w="3237" w:type="pct"/>
            <w:tcBorders>
              <w:top w:val="single" w:sz="6" w:space="0" w:color="auto"/>
              <w:left w:val="single" w:sz="6" w:space="0" w:color="auto"/>
              <w:bottom w:val="single" w:sz="6" w:space="0" w:color="auto"/>
              <w:right w:val="single" w:sz="6" w:space="0" w:color="auto"/>
            </w:tcBorders>
          </w:tcPr>
          <w:p w14:paraId="3930D965" w14:textId="77777777" w:rsidR="0098530D" w:rsidRPr="00AB7CA1" w:rsidRDefault="0098530D" w:rsidP="00552502">
            <w:pPr>
              <w:pStyle w:val="Texto"/>
              <w:spacing w:line="233" w:lineRule="exact"/>
              <w:ind w:firstLine="0"/>
            </w:pPr>
            <w:r w:rsidRPr="00AB7CA1">
              <w:t>Publicada en el DOF el 29 de septiembre de 2015, Anexo 7, publicado en la misma fecha de la Modificación.</w:t>
            </w:r>
          </w:p>
        </w:tc>
      </w:tr>
    </w:tbl>
    <w:p w14:paraId="7823D884" w14:textId="77777777" w:rsidR="0098530D" w:rsidRPr="00AB7CA1" w:rsidRDefault="0098530D" w:rsidP="0098530D">
      <w:pPr>
        <w:pStyle w:val="Texto"/>
        <w:spacing w:line="233" w:lineRule="exact"/>
        <w:ind w:left="2736" w:hanging="1152"/>
        <w:rPr>
          <w:b/>
        </w:rPr>
      </w:pPr>
    </w:p>
    <w:p w14:paraId="12364B53" w14:textId="77777777" w:rsidR="0098530D" w:rsidRPr="00AB7CA1" w:rsidRDefault="0098530D" w:rsidP="0098530D">
      <w:pPr>
        <w:pStyle w:val="Texto"/>
        <w:spacing w:line="233" w:lineRule="exact"/>
        <w:ind w:left="2736" w:hanging="1152"/>
        <w:rPr>
          <w:b/>
        </w:rPr>
      </w:pPr>
      <w:r w:rsidRPr="00AB7CA1">
        <w:rPr>
          <w:b/>
        </w:rPr>
        <w:t>7/LISH/N</w:t>
      </w:r>
      <w:r w:rsidRPr="00AB7CA1">
        <w:rPr>
          <w:b/>
        </w:rPr>
        <w:tab/>
        <w:t>Establecimiento permanente para los efectos de las actividades a que se refiere la Ley de Hidrocarburos.</w:t>
      </w:r>
    </w:p>
    <w:p w14:paraId="47F45CEF" w14:textId="77777777" w:rsidR="0098530D" w:rsidRPr="00AB7CA1" w:rsidRDefault="0098530D" w:rsidP="0098530D">
      <w:pPr>
        <w:pStyle w:val="Texto"/>
        <w:spacing w:line="233" w:lineRule="exact"/>
        <w:ind w:left="2736" w:hanging="1152"/>
      </w:pPr>
      <w:r w:rsidRPr="00AB7CA1">
        <w:rPr>
          <w:b/>
        </w:rPr>
        <w:tab/>
      </w:r>
      <w:r w:rsidRPr="00AB7CA1">
        <w:t>El artículo 2, primer párrafo de la Ley del ISR señala que se considera establecimiento permanente cualquier lugar de negocios en el que se desarrollen, parcial o totalmente, actividades empresariales o se presten servicios personales independientes, y que se entenderá como establecimiento permanente, entre otros, cualquier lugar de exploración, extracción o explotación de recursos naturales.</w:t>
      </w:r>
    </w:p>
    <w:p w14:paraId="049E15FE" w14:textId="77777777" w:rsidR="0098530D" w:rsidRPr="00AB7CA1" w:rsidRDefault="0098530D" w:rsidP="0098530D">
      <w:pPr>
        <w:pStyle w:val="Texto"/>
        <w:spacing w:line="233" w:lineRule="exact"/>
        <w:ind w:left="2736" w:hanging="1152"/>
      </w:pPr>
      <w:r w:rsidRPr="00AB7CA1">
        <w:tab/>
        <w:t>El artículo 64, primer párrafo de la LISH dispone que para los efectos de dicha ley y de la Ley del ISR se considera que se constituye establecimiento permanente cuando un residente en el extranjero realice las actividades a que se refiere la Ley de Hidrocarburos, en territorio nacional o en la zona económica exclusiva sobre la cual México tenga derecho, en un periodo que sume en conjunto más de 30 días en cualquier periodo de 12 meses.</w:t>
      </w:r>
    </w:p>
    <w:p w14:paraId="3FBE6A98" w14:textId="77777777" w:rsidR="0098530D" w:rsidRPr="00AB7CA1" w:rsidRDefault="0098530D" w:rsidP="0098530D">
      <w:pPr>
        <w:pStyle w:val="Texto"/>
        <w:spacing w:line="233" w:lineRule="exact"/>
        <w:ind w:left="2736" w:hanging="1152"/>
      </w:pPr>
      <w:r w:rsidRPr="00AB7CA1">
        <w:tab/>
        <w:t>La Suprema Corte de Justicia de la Nación ha determinado que los tratados internacionales se encuentran en un segundo plano inmediatamente debajo de la Constitución Política de los Estados Unidos Mexicanos y por encima del derecho federal y el local.</w:t>
      </w:r>
    </w:p>
    <w:p w14:paraId="070C2157" w14:textId="77777777" w:rsidR="0098530D" w:rsidRPr="00AB7CA1" w:rsidRDefault="0098530D" w:rsidP="0098530D">
      <w:pPr>
        <w:pStyle w:val="Texto"/>
        <w:spacing w:line="220" w:lineRule="exact"/>
        <w:ind w:left="2736" w:hanging="1152"/>
      </w:pPr>
      <w:r w:rsidRPr="00AB7CA1">
        <w:tab/>
        <w:t>En consecuencia, sólo se considerará que un residente en el extranjero que realice las actividades a que se refiere la Ley de Hidrocarburos, tiene un establecimiento permanente en el país si, además de constituirlo en los términos del artículo 64 de la LISH, también lo tiene conforme al tratado para evitar la doble tributación que México tenga en vigor y que resulte aplicable a dicho residente.</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424F6E6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7767AB18" w14:textId="77777777" w:rsidR="0098530D" w:rsidRPr="00AB7CA1" w:rsidRDefault="0098530D" w:rsidP="00552502">
            <w:pPr>
              <w:pStyle w:val="Texto"/>
              <w:spacing w:line="220" w:lineRule="exact"/>
              <w:ind w:firstLine="0"/>
              <w:jc w:val="center"/>
              <w:rPr>
                <w:b/>
              </w:rPr>
            </w:pPr>
            <w:r w:rsidRPr="00AB7CA1">
              <w:rPr>
                <w:b/>
              </w:rPr>
              <w:lastRenderedPageBreak/>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F1BA32A" w14:textId="77777777" w:rsidR="0098530D" w:rsidRPr="00AB7CA1" w:rsidRDefault="0098530D" w:rsidP="00552502">
            <w:pPr>
              <w:pStyle w:val="Texto"/>
              <w:spacing w:line="220" w:lineRule="exact"/>
              <w:ind w:firstLine="0"/>
              <w:jc w:val="center"/>
              <w:rPr>
                <w:b/>
              </w:rPr>
            </w:pPr>
            <w:r w:rsidRPr="00AB7CA1">
              <w:rPr>
                <w:b/>
              </w:rPr>
              <w:t>Primer antecedente</w:t>
            </w:r>
          </w:p>
        </w:tc>
      </w:tr>
      <w:tr w:rsidR="0098530D" w:rsidRPr="00AB7CA1" w14:paraId="5B0501A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C4A5D32" w14:textId="77777777" w:rsidR="0098530D" w:rsidRPr="00AB7CA1" w:rsidRDefault="0098530D" w:rsidP="00552502">
            <w:pPr>
              <w:pStyle w:val="Texto"/>
              <w:spacing w:line="220" w:lineRule="exact"/>
              <w:ind w:firstLine="0"/>
            </w:pPr>
            <w:r w:rsidRPr="00AB7CA1">
              <w:t>Cuarta Resolución de Modificaciones a la RMF para 2015</w:t>
            </w:r>
          </w:p>
        </w:tc>
        <w:tc>
          <w:tcPr>
            <w:tcW w:w="3237" w:type="pct"/>
            <w:tcBorders>
              <w:top w:val="single" w:sz="6" w:space="0" w:color="auto"/>
              <w:left w:val="single" w:sz="6" w:space="0" w:color="auto"/>
              <w:bottom w:val="single" w:sz="6" w:space="0" w:color="auto"/>
              <w:right w:val="single" w:sz="6" w:space="0" w:color="auto"/>
            </w:tcBorders>
          </w:tcPr>
          <w:p w14:paraId="4BE63ED3" w14:textId="77777777" w:rsidR="0098530D" w:rsidRPr="00AB7CA1" w:rsidRDefault="0098530D" w:rsidP="00552502">
            <w:pPr>
              <w:pStyle w:val="Texto"/>
              <w:spacing w:line="220" w:lineRule="exact"/>
              <w:ind w:firstLine="0"/>
            </w:pPr>
            <w:r w:rsidRPr="00AB7CA1">
              <w:t>Publicada en el DOF el 29 de septiembre de 2015, Anexo 7, publicado en la misma fecha de la Modificación.</w:t>
            </w:r>
          </w:p>
        </w:tc>
      </w:tr>
    </w:tbl>
    <w:p w14:paraId="6A1CB403" w14:textId="77777777" w:rsidR="0098530D" w:rsidRPr="00AB7CA1" w:rsidRDefault="0098530D" w:rsidP="0098530D">
      <w:pPr>
        <w:pStyle w:val="Texto"/>
        <w:spacing w:line="220" w:lineRule="exact"/>
        <w:ind w:left="2736" w:hanging="1152"/>
        <w:rPr>
          <w:b/>
        </w:rPr>
      </w:pPr>
    </w:p>
    <w:p w14:paraId="6A32C336" w14:textId="77777777" w:rsidR="0098530D" w:rsidRPr="00AB7CA1" w:rsidRDefault="0098530D" w:rsidP="0098530D">
      <w:pPr>
        <w:pStyle w:val="Texto"/>
        <w:spacing w:line="220" w:lineRule="exact"/>
        <w:ind w:left="2736" w:hanging="1152"/>
        <w:rPr>
          <w:b/>
        </w:rPr>
      </w:pPr>
      <w:r w:rsidRPr="00AB7CA1">
        <w:rPr>
          <w:b/>
        </w:rPr>
        <w:t>8/LISH/N</w:t>
      </w:r>
      <w:r w:rsidRPr="00AB7CA1">
        <w:rPr>
          <w:b/>
        </w:rPr>
        <w:tab/>
        <w:t>Registro de operaciones contables de asignatarios y contratistas. Debe utilizarse la moneda nacional o de registro.</w:t>
      </w:r>
    </w:p>
    <w:p w14:paraId="3877CC94" w14:textId="77777777" w:rsidR="0098530D" w:rsidRPr="00AB7CA1" w:rsidRDefault="0098530D" w:rsidP="0098530D">
      <w:pPr>
        <w:pStyle w:val="Texto"/>
        <w:spacing w:line="220" w:lineRule="exact"/>
        <w:ind w:left="2736" w:hanging="1152"/>
      </w:pPr>
      <w:r w:rsidRPr="00AB7CA1">
        <w:rPr>
          <w:b/>
        </w:rPr>
        <w:tab/>
      </w:r>
      <w:r w:rsidRPr="00AB7CA1">
        <w:t>Los artículos 28, fracción II del CFF y 33, apartado B, fracción XI del Reglamento del CFF, disponen que las personas que de acuerdo con las disposiciones fiscales estén obligadas a llevar contabilidad, deben consignar los valores de los registros o asientos contables en moneda nacional.</w:t>
      </w:r>
    </w:p>
    <w:p w14:paraId="66F01B10" w14:textId="77777777" w:rsidR="0098530D" w:rsidRPr="00AB7CA1" w:rsidRDefault="0098530D" w:rsidP="0098530D">
      <w:pPr>
        <w:pStyle w:val="Texto"/>
        <w:spacing w:line="220" w:lineRule="exact"/>
        <w:ind w:left="2736" w:hanging="1152"/>
      </w:pPr>
      <w:r w:rsidRPr="00AB7CA1">
        <w:tab/>
        <w:t>El artículo 1º. de la Ley Monetaria de los Estados Unidos Mexicanos establece que la unidad del sistema monetario de los Estados Unidos Mexicanos es el peso.</w:t>
      </w:r>
    </w:p>
    <w:p w14:paraId="244B11BA" w14:textId="77777777" w:rsidR="0098530D" w:rsidRPr="00AB7CA1" w:rsidRDefault="0098530D" w:rsidP="0098530D">
      <w:pPr>
        <w:pStyle w:val="Texto"/>
        <w:spacing w:line="220" w:lineRule="exact"/>
        <w:ind w:left="2736" w:hanging="1152"/>
      </w:pPr>
      <w:r w:rsidRPr="00AB7CA1">
        <w:tab/>
        <w:t>Por otra parte, el artículo 37, apartado B, fracción I de la LISH señala que corresponde a la Secretaría de Hacienda y Crédito Público determinar las bases y reglas sobre el registro de costos, gastos e inversiones del contrato para la exploración y extracción de hidrocarburos, conforme a los lineamientos que emita.</w:t>
      </w:r>
    </w:p>
    <w:p w14:paraId="6EF3C909" w14:textId="77777777" w:rsidR="0098530D" w:rsidRPr="00AB7CA1" w:rsidRDefault="0098530D" w:rsidP="0098530D">
      <w:pPr>
        <w:pStyle w:val="Texto"/>
        <w:spacing w:line="220" w:lineRule="exact"/>
        <w:ind w:left="2736" w:hanging="1152"/>
      </w:pPr>
      <w:r w:rsidRPr="00AB7CA1">
        <w:tab/>
        <w:t>Los numerales 3 y 4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por la Secretaría de Hacienda y Crédito Público en el DOF el 6 de marzo de 2015 y sus modificaciones publicadas el 6 de julio de 2015 y 28 de noviembre de 2016, establecen que los contratistas deben llevar su contabilidad conforme al CFF, su Reglamento y las Normas de Información Financiera vigentes en México, misma que deberá consignar los valores en la moneda de registro, la cual para fines legales y en todos los casos es el “peso mexicano”, independientemente de las otras monedas utilizadas por el contratista.</w:t>
      </w:r>
    </w:p>
    <w:p w14:paraId="19744E84" w14:textId="77777777" w:rsidR="0098530D" w:rsidRPr="00AB7CA1" w:rsidRDefault="0098530D" w:rsidP="0098530D">
      <w:pPr>
        <w:pStyle w:val="Texto"/>
        <w:spacing w:line="220" w:lineRule="exact"/>
        <w:ind w:left="2736" w:hanging="1152"/>
      </w:pPr>
      <w:r w:rsidRPr="00AB7CA1">
        <w:tab/>
        <w:t>En consecuencia y de conformidad con los lineamientos referidos, los registros o asientos contables que integran la contabilidad de los contratistas a que se refiere la LISH, deben consignar los valores de los registros o asientos contables en moneda nacional.</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670AB48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1DF4D554" w14:textId="77777777" w:rsidR="0098530D" w:rsidRPr="00AB7CA1" w:rsidRDefault="0098530D" w:rsidP="00552502">
            <w:pPr>
              <w:pStyle w:val="Texto"/>
              <w:spacing w:line="220"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4A8B3E8" w14:textId="77777777" w:rsidR="0098530D" w:rsidRPr="00AB7CA1" w:rsidRDefault="0098530D" w:rsidP="00552502">
            <w:pPr>
              <w:pStyle w:val="Texto"/>
              <w:spacing w:line="220" w:lineRule="exact"/>
              <w:ind w:firstLine="0"/>
              <w:jc w:val="center"/>
              <w:rPr>
                <w:b/>
              </w:rPr>
            </w:pPr>
            <w:r w:rsidRPr="00AB7CA1">
              <w:rPr>
                <w:b/>
              </w:rPr>
              <w:t>Primer antecedente</w:t>
            </w:r>
          </w:p>
        </w:tc>
      </w:tr>
      <w:tr w:rsidR="0098530D" w:rsidRPr="00AB7CA1" w14:paraId="5E5836F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20BD8D4B" w14:textId="77777777" w:rsidR="0098530D" w:rsidRPr="00AB7CA1" w:rsidRDefault="0098530D" w:rsidP="00552502">
            <w:pPr>
              <w:pStyle w:val="Texto"/>
              <w:spacing w:line="220" w:lineRule="exact"/>
              <w:ind w:firstLine="0"/>
            </w:pPr>
            <w:r w:rsidRPr="00AB7CA1">
              <w:t>Cuarta Resolución de Modificaciones a la RMF para 2015</w:t>
            </w:r>
          </w:p>
        </w:tc>
        <w:tc>
          <w:tcPr>
            <w:tcW w:w="3237" w:type="pct"/>
            <w:tcBorders>
              <w:top w:val="single" w:sz="6" w:space="0" w:color="auto"/>
              <w:left w:val="single" w:sz="6" w:space="0" w:color="auto"/>
              <w:bottom w:val="single" w:sz="6" w:space="0" w:color="auto"/>
              <w:right w:val="single" w:sz="6" w:space="0" w:color="auto"/>
            </w:tcBorders>
          </w:tcPr>
          <w:p w14:paraId="22E24AB1" w14:textId="77777777" w:rsidR="0098530D" w:rsidRPr="00AB7CA1" w:rsidRDefault="0098530D" w:rsidP="00552502">
            <w:pPr>
              <w:pStyle w:val="Texto"/>
              <w:spacing w:line="220" w:lineRule="exact"/>
              <w:ind w:firstLine="0"/>
            </w:pPr>
            <w:r w:rsidRPr="00AB7CA1">
              <w:t>Publicada en el DOF el 29 de septiembre de 2015, Anexo 7, publicado en la misma fecha de la Modificación.</w:t>
            </w:r>
          </w:p>
        </w:tc>
      </w:tr>
    </w:tbl>
    <w:p w14:paraId="7941E404" w14:textId="77777777" w:rsidR="0098530D" w:rsidRPr="00AB7CA1" w:rsidRDefault="0098530D" w:rsidP="0098530D">
      <w:pPr>
        <w:pStyle w:val="Texto"/>
        <w:spacing w:line="220" w:lineRule="exact"/>
        <w:ind w:left="2736" w:hanging="1152"/>
        <w:rPr>
          <w:b/>
        </w:rPr>
      </w:pPr>
    </w:p>
    <w:p w14:paraId="6FD56D6E" w14:textId="77777777" w:rsidR="0098530D" w:rsidRPr="00AB7CA1" w:rsidRDefault="0098530D" w:rsidP="0098530D">
      <w:pPr>
        <w:pStyle w:val="Texto"/>
        <w:spacing w:line="220" w:lineRule="exact"/>
        <w:ind w:left="2736" w:hanging="1152"/>
      </w:pPr>
      <w:r w:rsidRPr="00AB7CA1">
        <w:rPr>
          <w:b/>
        </w:rPr>
        <w:t>9/LISH/N</w:t>
      </w:r>
      <w:r w:rsidRPr="00AB7CA1">
        <w:rPr>
          <w:b/>
        </w:rPr>
        <w:tab/>
        <w:t>Enajenación de bienes de activo fijo utilizados en actividades petroleras. Tratamiento fiscal en materia del ISR.</w:t>
      </w:r>
    </w:p>
    <w:p w14:paraId="69D3F817" w14:textId="77777777" w:rsidR="0098530D" w:rsidRPr="00AB7CA1" w:rsidRDefault="0098530D" w:rsidP="0098530D">
      <w:pPr>
        <w:pStyle w:val="Texto"/>
        <w:spacing w:line="220" w:lineRule="exact"/>
        <w:ind w:left="2736" w:hanging="1152"/>
      </w:pPr>
      <w:r w:rsidRPr="00AB7CA1">
        <w:tab/>
        <w:t>El artículo 18, fracción IV de la Ley del ISR establece que los contribuyentes considerarán como ingreso acumulable, la ganancia derivada de la enajenación de activos fijos, mientras que el artículo 25, fracción V del mismo ordenamiento señala que se podrán deducir las pérdidas por su enajenación.</w:t>
      </w:r>
    </w:p>
    <w:p w14:paraId="03E17030" w14:textId="77777777" w:rsidR="0098530D" w:rsidRPr="00AB7CA1" w:rsidRDefault="0098530D" w:rsidP="0098530D">
      <w:pPr>
        <w:pStyle w:val="Texto"/>
        <w:spacing w:line="226" w:lineRule="exact"/>
        <w:ind w:left="2736" w:hanging="1152"/>
      </w:pPr>
      <w:r w:rsidRPr="00AB7CA1">
        <w:tab/>
        <w:t xml:space="preserve">Cuando en los contratos para la exploración y extracción de hidrocarburos bajo la modalidad de utilidad o de producción compartida, se indique que el contratista mantendrá durante su vigencia, la propiedad de todos los materiales generados o adquiridos para ser utilizados en las actividades petroleras, cuya propiedad pasará de forma automática a la Nación a la terminación por cualquier motivo del contrato respectivo, pudiendo venderlos </w:t>
      </w:r>
      <w:r w:rsidRPr="00AB7CA1">
        <w:lastRenderedPageBreak/>
        <w:t>antes de dicho momento cumpliendo los requisitos correspondientes, a dicha enajenación le resultan aplicables los artículos indicados en el párrafo anterior.</w:t>
      </w:r>
    </w:p>
    <w:p w14:paraId="7A998F24" w14:textId="77777777" w:rsidR="0098530D" w:rsidRPr="00AB7CA1" w:rsidRDefault="0098530D" w:rsidP="0098530D">
      <w:pPr>
        <w:pStyle w:val="Texto"/>
        <w:spacing w:line="226" w:lineRule="exact"/>
        <w:ind w:left="2736" w:hanging="1152"/>
      </w:pPr>
      <w:r w:rsidRPr="00AB7CA1">
        <w:tab/>
        <w:t>En consecuencia, si dichos materiales constituyen activos fijos y toda vez que el contratista mantiene su propiedad durante la vigencia del contrato, se encuentra obligado a acumular a sus demás ingresos la ganancia que derive de su enajenación o, en su caso, tendrá derecho a deducir las pérdidas por dicha enajenación.</w:t>
      </w:r>
    </w:p>
    <w:p w14:paraId="701550A3" w14:textId="77777777" w:rsidR="0098530D" w:rsidRPr="00AB7CA1" w:rsidRDefault="0098530D" w:rsidP="0098530D">
      <w:pPr>
        <w:pStyle w:val="Texto"/>
        <w:spacing w:line="226" w:lineRule="exact"/>
        <w:ind w:left="2736" w:hanging="1152"/>
      </w:pPr>
      <w:r w:rsidRPr="00AB7CA1">
        <w:tab/>
        <w:t>Por otra parte, el artículo 20, primer párrafo de la LISH señala que en los casos en que el contratista enajene activos, cuyo costo, gasto o inversión hayan sido recuperados total o parcialmente conforme al contrato, el monto que reciba por dicha operación será entregado al Estado Mexicano, a través del FMP o bien, previa autorización de la Secretaría, un monto equivalente será descontado de las contraprestaciones que le correspondan al contratista.</w:t>
      </w:r>
    </w:p>
    <w:p w14:paraId="7CC36117" w14:textId="77777777" w:rsidR="0098530D" w:rsidRPr="00AB7CA1" w:rsidRDefault="0098530D" w:rsidP="0098530D">
      <w:pPr>
        <w:pStyle w:val="Texto"/>
        <w:spacing w:line="226" w:lineRule="exact"/>
        <w:ind w:left="2736" w:hanging="1152"/>
      </w:pPr>
      <w:r w:rsidRPr="00AB7CA1">
        <w:tab/>
        <w:t>Por su parte, el artículo 25, fracción III de la Ley del ISR prevé que los contribuyentes podrán deducir para los efectos de dicho impuesto, los gastos netos de descuentos, bonificaciones o devoluciones.</w:t>
      </w:r>
    </w:p>
    <w:p w14:paraId="6E70B480" w14:textId="77777777" w:rsidR="0098530D" w:rsidRDefault="0098530D" w:rsidP="0098530D">
      <w:pPr>
        <w:pStyle w:val="Texto"/>
        <w:spacing w:line="226" w:lineRule="exact"/>
        <w:ind w:left="2736" w:hanging="1152"/>
      </w:pPr>
      <w:r w:rsidRPr="00AB7CA1">
        <w:tab/>
        <w:t>En consecuencia, siempre que se cumplan los requisitos establecidos en las disposiciones fiscales y contractuales que sean aplicables, los contratistas referidos podrán deducir para los efectos de la determinación del ISR a su cargo, el monto que efectivamente se hubiera entregado al FMP.</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365B589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74C98A28" w14:textId="77777777" w:rsidR="0098530D" w:rsidRPr="00AB7CA1" w:rsidRDefault="0098530D" w:rsidP="00552502">
            <w:pPr>
              <w:pStyle w:val="Texto"/>
              <w:spacing w:line="226"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72C623E1" w14:textId="77777777" w:rsidR="0098530D" w:rsidRPr="00AB7CA1" w:rsidRDefault="0098530D" w:rsidP="00552502">
            <w:pPr>
              <w:pStyle w:val="Texto"/>
              <w:spacing w:line="226" w:lineRule="exact"/>
              <w:ind w:firstLine="0"/>
              <w:jc w:val="center"/>
              <w:rPr>
                <w:b/>
              </w:rPr>
            </w:pPr>
            <w:r w:rsidRPr="00AB7CA1">
              <w:rPr>
                <w:b/>
              </w:rPr>
              <w:t>Primer antecedente</w:t>
            </w:r>
          </w:p>
        </w:tc>
      </w:tr>
      <w:tr w:rsidR="0098530D" w:rsidRPr="00AB7CA1" w14:paraId="28B6BBC6"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9634BD6" w14:textId="77777777" w:rsidR="0098530D" w:rsidRPr="00AB7CA1" w:rsidRDefault="0098530D" w:rsidP="00552502">
            <w:pPr>
              <w:pStyle w:val="Texto"/>
              <w:spacing w:line="226" w:lineRule="exact"/>
              <w:ind w:firstLine="0"/>
            </w:pPr>
            <w:r w:rsidRPr="00AB7CA1">
              <w:t xml:space="preserve">RMF para 2016 </w:t>
            </w:r>
          </w:p>
        </w:tc>
        <w:tc>
          <w:tcPr>
            <w:tcW w:w="3237" w:type="pct"/>
            <w:tcBorders>
              <w:top w:val="single" w:sz="6" w:space="0" w:color="auto"/>
              <w:left w:val="single" w:sz="6" w:space="0" w:color="auto"/>
              <w:bottom w:val="single" w:sz="6" w:space="0" w:color="auto"/>
              <w:right w:val="single" w:sz="6" w:space="0" w:color="auto"/>
            </w:tcBorders>
          </w:tcPr>
          <w:p w14:paraId="2161318D" w14:textId="77777777" w:rsidR="0098530D" w:rsidRPr="00AB7CA1" w:rsidRDefault="0098530D" w:rsidP="00552502">
            <w:pPr>
              <w:pStyle w:val="Texto"/>
              <w:spacing w:line="226" w:lineRule="exact"/>
              <w:ind w:firstLine="0"/>
            </w:pPr>
            <w:r w:rsidRPr="00AB7CA1">
              <w:t>Publicada en el DOF el 23 de diciembre de 2015 y el Anexo 7, publicado en el DOF el 12 de enero de 2016.</w:t>
            </w:r>
          </w:p>
        </w:tc>
      </w:tr>
    </w:tbl>
    <w:p w14:paraId="054E74B3" w14:textId="77777777" w:rsidR="0098530D" w:rsidRPr="00AB7CA1" w:rsidRDefault="0098530D" w:rsidP="0098530D">
      <w:pPr>
        <w:pStyle w:val="Texto"/>
        <w:spacing w:line="226" w:lineRule="exact"/>
        <w:ind w:left="2736" w:hanging="1152"/>
        <w:rPr>
          <w:b/>
        </w:rPr>
      </w:pPr>
    </w:p>
    <w:p w14:paraId="2DDF9B5E" w14:textId="77777777" w:rsidR="0098530D" w:rsidRPr="00AB7CA1" w:rsidRDefault="0098530D" w:rsidP="0098530D">
      <w:pPr>
        <w:pStyle w:val="Texto"/>
        <w:spacing w:line="226" w:lineRule="exact"/>
        <w:ind w:left="2736" w:hanging="1152"/>
      </w:pPr>
      <w:r w:rsidRPr="00AB7CA1">
        <w:rPr>
          <w:b/>
        </w:rPr>
        <w:t>10/LISH/N</w:t>
      </w:r>
      <w:r w:rsidRPr="00AB7CA1">
        <w:rPr>
          <w:b/>
        </w:rPr>
        <w:tab/>
        <w:t>Transmisión al Estado de los activos generados o adquiridos al amparo de los Contratos de exploración y extracción. Tratamiento fiscal en materia del ISR.</w:t>
      </w:r>
    </w:p>
    <w:p w14:paraId="765842A8" w14:textId="77777777" w:rsidR="0098530D" w:rsidRPr="00AB7CA1" w:rsidRDefault="0098530D" w:rsidP="0098530D">
      <w:pPr>
        <w:pStyle w:val="Texto"/>
        <w:spacing w:line="226" w:lineRule="exact"/>
        <w:ind w:left="2736" w:hanging="1152"/>
      </w:pPr>
      <w:r w:rsidRPr="00AB7CA1">
        <w:tab/>
        <w:t>El artículo 58-A, fracción II del CFF, establece que las autoridades fiscales podrán modificar la pérdida fiscal mediante la determinación presuntiva del precio en que los contribuyentes enajenen bienes, cuando la enajenación se realice al costo o a menos del costo, salvo que el contribuyente compruebe que existieron circunstancias que determinaron la necesidad de efectuar la enajenación en esas condiciones.</w:t>
      </w:r>
    </w:p>
    <w:p w14:paraId="33021B3F" w14:textId="77777777" w:rsidR="0098530D" w:rsidRPr="00AB7CA1" w:rsidRDefault="0098530D" w:rsidP="0098530D">
      <w:pPr>
        <w:pStyle w:val="Texto"/>
        <w:spacing w:line="226" w:lineRule="exact"/>
        <w:ind w:left="2736" w:hanging="1152"/>
      </w:pPr>
      <w:r w:rsidRPr="00AB7CA1">
        <w:tab/>
        <w:t>El artículo 28, fracción VII de la LISH establece que los contratos para la exploración y extracción de hidrocarburos previstos en la Ley de Hidrocarburos, contendrán la obligación para los contratistas de transferir al Estado los activos generados o adquiridos al amparo del contrato sin cargo, pago, ni indemnización alguna.</w:t>
      </w:r>
    </w:p>
    <w:p w14:paraId="72DC0F3C" w14:textId="77777777" w:rsidR="0098530D" w:rsidRPr="00AB7CA1" w:rsidRDefault="0098530D" w:rsidP="0098530D">
      <w:pPr>
        <w:pStyle w:val="Texto"/>
        <w:spacing w:line="226" w:lineRule="exact"/>
        <w:ind w:left="2736" w:hanging="1152"/>
      </w:pPr>
      <w:r w:rsidRPr="00AB7CA1">
        <w:tab/>
        <w:t>En consecuencia, para efectos de la determinación de la pérdida a que se refiere el primer párrafo, derivada de la transmisión al Estado de los activos generados o adquiridos al amparo del contrato, se podrá considerar que existieron circunstancias que determinaron la necesidad de efectuar dicha transmisión sin cargo, pago o indemnización alguna, en los términos del artículo 28, fracción VII de la LISH.</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72AEFA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7F415858" w14:textId="77777777" w:rsidR="0098530D" w:rsidRPr="00AB7CA1" w:rsidRDefault="0098530D" w:rsidP="00552502">
            <w:pPr>
              <w:pStyle w:val="Texto"/>
              <w:spacing w:line="223"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08E72960" w14:textId="77777777" w:rsidR="0098530D" w:rsidRPr="00AB7CA1" w:rsidRDefault="0098530D" w:rsidP="00552502">
            <w:pPr>
              <w:pStyle w:val="Texto"/>
              <w:spacing w:line="223" w:lineRule="exact"/>
              <w:ind w:firstLine="0"/>
              <w:jc w:val="center"/>
              <w:rPr>
                <w:b/>
              </w:rPr>
            </w:pPr>
            <w:r w:rsidRPr="00AB7CA1">
              <w:rPr>
                <w:b/>
              </w:rPr>
              <w:t>Primer antecedente</w:t>
            </w:r>
          </w:p>
        </w:tc>
      </w:tr>
      <w:tr w:rsidR="0098530D" w:rsidRPr="00AB7CA1" w14:paraId="0F0F94B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539118B" w14:textId="77777777" w:rsidR="0098530D" w:rsidRPr="00AB7CA1" w:rsidRDefault="0098530D" w:rsidP="00552502">
            <w:pPr>
              <w:pStyle w:val="Texto"/>
              <w:spacing w:line="223" w:lineRule="exact"/>
              <w:ind w:firstLine="0"/>
            </w:pPr>
            <w:r w:rsidRPr="00AB7CA1">
              <w:lastRenderedPageBreak/>
              <w:t xml:space="preserve">RMF para 2016 </w:t>
            </w:r>
          </w:p>
        </w:tc>
        <w:tc>
          <w:tcPr>
            <w:tcW w:w="3237" w:type="pct"/>
            <w:tcBorders>
              <w:top w:val="single" w:sz="6" w:space="0" w:color="auto"/>
              <w:left w:val="single" w:sz="6" w:space="0" w:color="auto"/>
              <w:bottom w:val="single" w:sz="6" w:space="0" w:color="auto"/>
              <w:right w:val="single" w:sz="6" w:space="0" w:color="auto"/>
            </w:tcBorders>
          </w:tcPr>
          <w:p w14:paraId="6962D198" w14:textId="77777777" w:rsidR="0098530D" w:rsidRPr="00AB7CA1" w:rsidRDefault="0098530D" w:rsidP="00552502">
            <w:pPr>
              <w:pStyle w:val="Texto"/>
              <w:spacing w:line="223" w:lineRule="exact"/>
              <w:ind w:firstLine="0"/>
            </w:pPr>
            <w:r w:rsidRPr="00AB7CA1">
              <w:t>Publicada en el DOF el 23 de diciembre de 2015 y el Anexo 7, publicado en el DOF el 12 de enero de 2016.</w:t>
            </w:r>
          </w:p>
        </w:tc>
      </w:tr>
    </w:tbl>
    <w:p w14:paraId="63C97B9C" w14:textId="77777777" w:rsidR="0098530D" w:rsidRPr="00AB7CA1" w:rsidRDefault="0098530D" w:rsidP="0098530D">
      <w:pPr>
        <w:pStyle w:val="Texto"/>
        <w:spacing w:line="223" w:lineRule="exact"/>
        <w:ind w:left="2736" w:hanging="1152"/>
        <w:rPr>
          <w:b/>
        </w:rPr>
      </w:pPr>
    </w:p>
    <w:p w14:paraId="4397F9EC" w14:textId="77777777" w:rsidR="0098530D" w:rsidRPr="00AB7CA1" w:rsidRDefault="0098530D" w:rsidP="0098530D">
      <w:pPr>
        <w:pStyle w:val="Texto"/>
        <w:spacing w:line="223" w:lineRule="exact"/>
        <w:ind w:left="2736" w:hanging="1152"/>
      </w:pPr>
      <w:r w:rsidRPr="00AB7CA1">
        <w:rPr>
          <w:b/>
        </w:rPr>
        <w:t>11/LISH/N</w:t>
      </w:r>
      <w:r w:rsidRPr="00AB7CA1">
        <w:rPr>
          <w:b/>
        </w:rPr>
        <w:tab/>
        <w:t>Aportaciones a los fideicomisos de inversión para fondear las operaciones de abandono en el área contractual. El monto equivalente a los intereses que se disminuyen para calcular las aportaciones trimestrales, constituye un ingreso acumulable para el contratista.</w:t>
      </w:r>
    </w:p>
    <w:p w14:paraId="385B9BF1" w14:textId="77777777" w:rsidR="0098530D" w:rsidRPr="00AB7CA1" w:rsidRDefault="0098530D" w:rsidP="0098530D">
      <w:pPr>
        <w:pStyle w:val="Texto"/>
        <w:spacing w:line="223" w:lineRule="exact"/>
        <w:ind w:left="2736" w:hanging="1152"/>
      </w:pPr>
      <w:r w:rsidRPr="00AB7CA1">
        <w:tab/>
        <w:t>El artículo 16, primer párrafo de la Ley del ISR establece que las personas morales residentes en el país, incluida la asociación en participación, acumularán la totalidad de los ingresos en efectivo, en bienes, en servicio, en crédito o de cualquier otro tipo, que obtengan en el ejercicio.</w:t>
      </w:r>
    </w:p>
    <w:p w14:paraId="2D7A31C9" w14:textId="77777777" w:rsidR="0098530D" w:rsidRPr="00AB7CA1" w:rsidRDefault="0098530D" w:rsidP="0098530D">
      <w:pPr>
        <w:pStyle w:val="Texto"/>
        <w:spacing w:line="223" w:lineRule="exact"/>
        <w:ind w:left="2736" w:hanging="1152"/>
      </w:pPr>
      <w:r w:rsidRPr="00AB7CA1">
        <w:tab/>
        <w:t>Los contratos para la exploración y extracción de hidrocarburos bajo la modalidad de producción compartida, establecen que los contratistas están obligados a constituir un fideicomiso de inversión para fondear las operaciones de abandono en el área contractual.</w:t>
      </w:r>
    </w:p>
    <w:p w14:paraId="43D4BF91" w14:textId="77777777" w:rsidR="0098530D" w:rsidRPr="00AB7CA1" w:rsidRDefault="0098530D" w:rsidP="0098530D">
      <w:pPr>
        <w:pStyle w:val="Texto"/>
        <w:spacing w:line="223" w:lineRule="exact"/>
        <w:ind w:left="2736" w:hanging="1152"/>
      </w:pPr>
      <w:r w:rsidRPr="00AB7CA1">
        <w:tab/>
        <w:t>De conformidad con los mencionados contratos, se advierte que para el cálculo de las aportaciones trimestrales que se deben realizar al fideicomiso de abandono, los intereses generados en cada año se restan del monto remanente de los costos de abandono al inicio del año del cálculo, estimado conforme al plan de desarrollo aprobado, según sea modificado.</w:t>
      </w:r>
    </w:p>
    <w:p w14:paraId="53C5E575" w14:textId="77777777" w:rsidR="0098530D" w:rsidRPr="00AB7CA1" w:rsidRDefault="0098530D" w:rsidP="0098530D">
      <w:pPr>
        <w:pStyle w:val="Texto"/>
        <w:spacing w:line="223" w:lineRule="exact"/>
        <w:ind w:left="2736" w:hanging="1152"/>
      </w:pPr>
      <w:r w:rsidRPr="00AB7CA1">
        <w:tab/>
        <w:t>En tal virtud, con la disminución de los intereses respecto de las aportaciones que debe realizar el contratista al fideicomiso de abandono, dicho contratista ve incrementado su haber patrimonial en el monto que ya no se verá obligado a aportar al fideicomiso.</w:t>
      </w:r>
    </w:p>
    <w:p w14:paraId="6A0093CA" w14:textId="77777777" w:rsidR="0098530D" w:rsidRPr="00AB7CA1" w:rsidRDefault="0098530D" w:rsidP="0098530D">
      <w:pPr>
        <w:pStyle w:val="Texto"/>
        <w:spacing w:line="223" w:lineRule="exact"/>
        <w:ind w:left="2736" w:hanging="1152"/>
      </w:pPr>
      <w:r w:rsidRPr="00AB7CA1">
        <w:tab/>
        <w:t>Por lo tanto, el contratista deberá considerar como ingreso acumulable para efectos del artículo 16 de la Ley del ISR, un monto equivalente a los intereses generados en cada año que se resten del monto remanente de los costos de abandono al inicio del año del cálculo.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09EBD8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3332A7DE" w14:textId="77777777" w:rsidR="0098530D" w:rsidRPr="00AB7CA1" w:rsidRDefault="0098530D" w:rsidP="00552502">
            <w:pPr>
              <w:pStyle w:val="Texto"/>
              <w:spacing w:line="223"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95EB050" w14:textId="77777777" w:rsidR="0098530D" w:rsidRPr="00AB7CA1" w:rsidRDefault="0098530D" w:rsidP="00552502">
            <w:pPr>
              <w:pStyle w:val="Texto"/>
              <w:spacing w:line="223" w:lineRule="exact"/>
              <w:ind w:firstLine="0"/>
              <w:jc w:val="center"/>
              <w:rPr>
                <w:b/>
              </w:rPr>
            </w:pPr>
            <w:r w:rsidRPr="00AB7CA1">
              <w:rPr>
                <w:b/>
              </w:rPr>
              <w:t>Primer antecedente</w:t>
            </w:r>
          </w:p>
        </w:tc>
      </w:tr>
      <w:tr w:rsidR="0098530D" w:rsidRPr="00AB7CA1" w14:paraId="0CCD783C"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4DA0DC1" w14:textId="77777777" w:rsidR="0098530D" w:rsidRPr="00AB7CA1" w:rsidRDefault="0098530D" w:rsidP="00552502">
            <w:pPr>
              <w:pStyle w:val="Texto"/>
              <w:spacing w:line="223" w:lineRule="exact"/>
              <w:ind w:firstLine="0"/>
            </w:pPr>
            <w:r w:rsidRPr="00AB7CA1">
              <w:t xml:space="preserve">RMF para 2016 </w:t>
            </w:r>
          </w:p>
        </w:tc>
        <w:tc>
          <w:tcPr>
            <w:tcW w:w="3237" w:type="pct"/>
            <w:tcBorders>
              <w:top w:val="single" w:sz="6" w:space="0" w:color="auto"/>
              <w:left w:val="single" w:sz="6" w:space="0" w:color="auto"/>
              <w:bottom w:val="single" w:sz="6" w:space="0" w:color="auto"/>
              <w:right w:val="single" w:sz="6" w:space="0" w:color="auto"/>
            </w:tcBorders>
          </w:tcPr>
          <w:p w14:paraId="1C4E8EEA" w14:textId="77777777" w:rsidR="0098530D" w:rsidRPr="00AB7CA1" w:rsidRDefault="0098530D" w:rsidP="00552502">
            <w:pPr>
              <w:pStyle w:val="Texto"/>
              <w:spacing w:line="223" w:lineRule="exact"/>
              <w:ind w:firstLine="0"/>
            </w:pPr>
            <w:r w:rsidRPr="00AB7CA1">
              <w:t>Publicada en el DOF el 23 de diciembre de 2015 y el Anexo 7, publicado en el DOF el 12 de enero de 2016.</w:t>
            </w:r>
          </w:p>
        </w:tc>
      </w:tr>
    </w:tbl>
    <w:p w14:paraId="418A4560" w14:textId="77777777" w:rsidR="0098530D" w:rsidRPr="00AB7CA1" w:rsidRDefault="0098530D" w:rsidP="0098530D">
      <w:pPr>
        <w:pStyle w:val="Texto"/>
        <w:spacing w:line="223" w:lineRule="exact"/>
        <w:ind w:left="2736" w:hanging="1152"/>
        <w:rPr>
          <w:b/>
        </w:rPr>
      </w:pPr>
    </w:p>
    <w:p w14:paraId="70945AD3" w14:textId="77777777" w:rsidR="0098530D" w:rsidRPr="00AB7CA1" w:rsidRDefault="0098530D" w:rsidP="0098530D">
      <w:pPr>
        <w:pStyle w:val="Texto"/>
        <w:spacing w:line="225" w:lineRule="exact"/>
        <w:ind w:left="2736" w:hanging="1152"/>
      </w:pPr>
      <w:r w:rsidRPr="00AB7CA1">
        <w:rPr>
          <w:b/>
        </w:rPr>
        <w:t>12/LISH/N</w:t>
      </w:r>
      <w:r w:rsidRPr="00AB7CA1">
        <w:rPr>
          <w:b/>
        </w:rPr>
        <w:tab/>
        <w:t>Provisión de reserva de abandono. No es deducible para los efectos del ISR</w:t>
      </w:r>
      <w:r w:rsidRPr="00AB7CA1">
        <w:t>.</w:t>
      </w:r>
    </w:p>
    <w:p w14:paraId="066D4086" w14:textId="77777777" w:rsidR="0098530D" w:rsidRPr="00AB7CA1" w:rsidRDefault="0098530D" w:rsidP="0098530D">
      <w:pPr>
        <w:pStyle w:val="Texto"/>
        <w:spacing w:line="225" w:lineRule="exact"/>
        <w:ind w:left="2736" w:hanging="1152"/>
      </w:pPr>
      <w:r w:rsidRPr="00AB7CA1">
        <w:tab/>
        <w:t>El artículo 28, fracción VII de la LISH prevé que los contratistas tendrán que cumplir con las obligaciones de abandono y desmantelamiento conforme a las disposiciones jurídicas aplicables y lo señalado en el contrato respectivo.</w:t>
      </w:r>
    </w:p>
    <w:p w14:paraId="28510F80" w14:textId="77777777" w:rsidR="0098530D" w:rsidRPr="00AB7CA1" w:rsidRDefault="0098530D" w:rsidP="0098530D">
      <w:pPr>
        <w:pStyle w:val="Texto"/>
        <w:spacing w:line="225" w:lineRule="exact"/>
        <w:ind w:left="2736" w:hanging="1152"/>
      </w:pPr>
      <w:r w:rsidRPr="00AB7CA1">
        <w:tab/>
        <w:t xml:space="preserve">En este sentido, el numeral 17 de la “Modificación a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el 6 de julio de 2015 en el DOF por la Secretaría, establece que una vez aprobado el Plan de Exploración y/o Plan de Desarrollo por la Comisión Nacional de Hidrocarburos, el contratista o el asignatario deberán crear la reserva de abandono, conforme a la Norma de Información Financiera C-18 en la cual registrarán las provisiones y reservas de abandono conforme a las reglas que para tal efecto emitan la Comisión Nacional de Hidrocarburos y la Agencia </w:t>
      </w:r>
      <w:r w:rsidRPr="00AB7CA1">
        <w:lastRenderedPageBreak/>
        <w:t>Nacional de Seguridad Industrial y de Protección al Medio Ambiente del Sector Hidrocarburos.</w:t>
      </w:r>
    </w:p>
    <w:p w14:paraId="48CC6B87" w14:textId="77777777" w:rsidR="0098530D" w:rsidRPr="00AB7CA1" w:rsidRDefault="0098530D" w:rsidP="0098530D">
      <w:pPr>
        <w:pStyle w:val="Texto"/>
        <w:spacing w:line="222" w:lineRule="exact"/>
        <w:ind w:left="2736" w:hanging="1152"/>
      </w:pPr>
      <w:r w:rsidRPr="00AB7CA1">
        <w:tab/>
        <w:t>La Norma de Información Financiera C-18 “Obligaciones asociadas con el retiro de propiedades, planta y equipo”, establece que se debe reconocer la obligación asociada con el retiro de propiedades, planta y equipo como una provisión que incrementa el costo de adquisición de dichos activos.</w:t>
      </w:r>
    </w:p>
    <w:p w14:paraId="65460590" w14:textId="77777777" w:rsidR="0098530D" w:rsidRPr="00AB7CA1" w:rsidRDefault="0098530D" w:rsidP="0098530D">
      <w:pPr>
        <w:pStyle w:val="Texto"/>
        <w:spacing w:line="222" w:lineRule="exact"/>
        <w:ind w:left="2736" w:hanging="1152"/>
      </w:pPr>
      <w:r w:rsidRPr="00AB7CA1">
        <w:tab/>
        <w:t>El artículo 28, fracción VIII de la Ley del ISR dispone que no serán deducibles las provisiones para la creación o el incremento de reservas complementarias de activo o de pasivo que se constituyan con cargo a las adquisiciones o gastos del ejercicio.</w:t>
      </w:r>
    </w:p>
    <w:p w14:paraId="4A505841" w14:textId="77777777" w:rsidR="0098530D" w:rsidRPr="00AB7CA1" w:rsidRDefault="0098530D" w:rsidP="0098530D">
      <w:pPr>
        <w:pStyle w:val="Texto"/>
        <w:spacing w:line="222" w:lineRule="exact"/>
        <w:ind w:left="2736" w:hanging="1152"/>
      </w:pPr>
      <w:r w:rsidRPr="00AB7CA1">
        <w:tab/>
        <w:t>En ese sentido, la provisión de reserva de abandono creada conforme a la Norma de Información Financiera C-18 para dar cumplimiento a los referidos Lineamientos, no es deducible de conformidad con el artículo 28, fracción VIII de la Ley del ISR.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D16E34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07568185" w14:textId="77777777" w:rsidR="0098530D" w:rsidRPr="00AB7CA1" w:rsidRDefault="0098530D" w:rsidP="00552502">
            <w:pPr>
              <w:pStyle w:val="Texto"/>
              <w:spacing w:line="222"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1CB37EDF" w14:textId="77777777" w:rsidR="0098530D" w:rsidRPr="00AB7CA1" w:rsidRDefault="0098530D" w:rsidP="00552502">
            <w:pPr>
              <w:pStyle w:val="Texto"/>
              <w:spacing w:line="222" w:lineRule="exact"/>
              <w:ind w:firstLine="0"/>
              <w:jc w:val="center"/>
              <w:rPr>
                <w:b/>
              </w:rPr>
            </w:pPr>
            <w:r w:rsidRPr="00AB7CA1">
              <w:rPr>
                <w:b/>
              </w:rPr>
              <w:t>Primer antecedente</w:t>
            </w:r>
          </w:p>
        </w:tc>
      </w:tr>
      <w:tr w:rsidR="0098530D" w:rsidRPr="00AB7CA1" w14:paraId="146356C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21A6326" w14:textId="77777777" w:rsidR="0098530D" w:rsidRPr="00AB7CA1" w:rsidRDefault="0098530D" w:rsidP="00552502">
            <w:pPr>
              <w:pStyle w:val="Texto"/>
              <w:spacing w:line="222" w:lineRule="exact"/>
              <w:ind w:firstLine="0"/>
            </w:pPr>
            <w:r w:rsidRPr="00AB7CA1">
              <w:t xml:space="preserve">RMF para 2017 </w:t>
            </w:r>
          </w:p>
        </w:tc>
        <w:tc>
          <w:tcPr>
            <w:tcW w:w="3237" w:type="pct"/>
            <w:tcBorders>
              <w:top w:val="single" w:sz="6" w:space="0" w:color="auto"/>
              <w:left w:val="single" w:sz="6" w:space="0" w:color="auto"/>
              <w:bottom w:val="single" w:sz="6" w:space="0" w:color="auto"/>
              <w:right w:val="single" w:sz="6" w:space="0" w:color="auto"/>
            </w:tcBorders>
          </w:tcPr>
          <w:p w14:paraId="295A9DC5" w14:textId="77777777" w:rsidR="0098530D" w:rsidRPr="00AB7CA1" w:rsidRDefault="0098530D" w:rsidP="00552502">
            <w:pPr>
              <w:pStyle w:val="Texto"/>
              <w:spacing w:line="222" w:lineRule="exact"/>
              <w:ind w:firstLine="0"/>
            </w:pPr>
            <w:r w:rsidRPr="00AB7CA1">
              <w:t>Publicada en el DOF el 23 de diciembre de 2016, Anexo 7, publicado en el DOF el 27 de diciembre de 2016.</w:t>
            </w:r>
          </w:p>
        </w:tc>
      </w:tr>
    </w:tbl>
    <w:p w14:paraId="4205ADD8" w14:textId="77777777" w:rsidR="0098530D" w:rsidRPr="00AB7CA1" w:rsidRDefault="0098530D" w:rsidP="0098530D">
      <w:pPr>
        <w:pStyle w:val="Texto"/>
        <w:spacing w:line="222" w:lineRule="exact"/>
        <w:ind w:left="2736" w:hanging="1152"/>
        <w:rPr>
          <w:b/>
        </w:rPr>
      </w:pPr>
    </w:p>
    <w:p w14:paraId="6EEB1A39" w14:textId="77777777" w:rsidR="0098530D" w:rsidRPr="00AB7CA1" w:rsidRDefault="0098530D" w:rsidP="0098530D">
      <w:pPr>
        <w:pStyle w:val="Texto"/>
        <w:spacing w:line="222" w:lineRule="exact"/>
        <w:ind w:left="2736" w:hanging="1152"/>
      </w:pPr>
      <w:r w:rsidRPr="00AB7CA1">
        <w:rPr>
          <w:b/>
        </w:rPr>
        <w:t>13/LISH/N</w:t>
      </w:r>
      <w:r w:rsidRPr="00AB7CA1">
        <w:rPr>
          <w:b/>
        </w:rPr>
        <w:tab/>
        <w:t>Porcentajes de deducción para contratistas y asignatarios. Únicamente son aplicables para las inversiones destinadas a las actividades señaladas en los mismos.</w:t>
      </w:r>
    </w:p>
    <w:p w14:paraId="4C59E5FB" w14:textId="77777777" w:rsidR="0098530D" w:rsidRPr="00AB7CA1" w:rsidRDefault="0098530D" w:rsidP="0098530D">
      <w:pPr>
        <w:pStyle w:val="Texto"/>
        <w:spacing w:line="222" w:lineRule="exact"/>
        <w:ind w:left="2736" w:hanging="1152"/>
      </w:pPr>
      <w:r w:rsidRPr="00AB7CA1">
        <w:tab/>
        <w:t>Los artículos 33 y 34 de la Ley del ISR, señalan los porcientos máximos autorizados tratándose de gastos y cargos diferidos, erogaciones realizadas en períodos preoperativos y activos fijos por tipo de bien, respectivamente.</w:t>
      </w:r>
    </w:p>
    <w:p w14:paraId="2FD8AFF7" w14:textId="77777777" w:rsidR="0098530D" w:rsidRPr="00AB7CA1" w:rsidRDefault="0098530D" w:rsidP="0098530D">
      <w:pPr>
        <w:pStyle w:val="Texto"/>
        <w:spacing w:line="222" w:lineRule="exact"/>
        <w:ind w:left="2736" w:hanging="1152"/>
      </w:pPr>
      <w:r w:rsidRPr="00AB7CA1">
        <w:tab/>
        <w:t>Los artículos 32, apartado A, primer párrafo y 46, cuarto párrafo de la LISH, disponen que para efectos de la determinación del ISR, en lugar de aplicar los porcentajes de deducción establecidos en los artículos 33 y 34 de la Ley del ISR, los contratistas y asignatarios deberán aplicar los porcentajes establecidos en los artículos aludidos de la LISH.</w:t>
      </w:r>
    </w:p>
    <w:p w14:paraId="26E37225" w14:textId="77777777" w:rsidR="0098530D" w:rsidRPr="00AB7CA1" w:rsidRDefault="0098530D" w:rsidP="0098530D">
      <w:pPr>
        <w:pStyle w:val="Texto"/>
        <w:spacing w:line="222" w:lineRule="exact"/>
        <w:ind w:left="2736" w:hanging="1152"/>
      </w:pPr>
      <w:r w:rsidRPr="00AB7CA1">
        <w:tab/>
        <w:t>De la exposición de motivos que dio origen a la LISH, se advierte que el legislador estimó que al no prever la Ley del ISR perfiles de deducción para los activos utilizados en las actividades de exploración y extracción de hidrocarburos, la LISH debía incluir los porcentajes de deducción de las inversiones realizadas para: la exploración, la recuperación secundaria y mejorada, el mantenimiento no capitalizable, el desarrollo y extracción del petróleo crudo o gas natural; y en la infraestructura de almacenamiento, el transporte necesario para la ejecución de un contrato y el transporte o tanques de almacenamiento; en este sentido, cuando la LISH señala que los porcentajes previstos en esta, se aplicarán sobre el monto original de las inversiones realizadas “para” o “en” las actividades descritas en la misma, se advierte que la intención del legislador fue únicamente sustituir los porcentajes de depreciación previstos en la LISR tratándose de las inversiones destinadas a dichas actividades.</w:t>
      </w:r>
    </w:p>
    <w:p w14:paraId="7E9EBFFE" w14:textId="77777777" w:rsidR="0098530D" w:rsidRPr="00AB7CA1" w:rsidRDefault="0098530D" w:rsidP="0098530D">
      <w:pPr>
        <w:pStyle w:val="Texto"/>
        <w:spacing w:line="222" w:lineRule="exact"/>
        <w:ind w:left="2736" w:hanging="1152"/>
      </w:pPr>
      <w:r w:rsidRPr="00AB7CA1">
        <w:tab/>
        <w:t>En consecuencia, para efectos de la determinación del ISR, los contratistas y asignatarios únicamente deberán aplicar los porcentajes previstos en los artículos 32, apartado A, primer párrafo y 46, cuarto párrafo de la LISH, a las inversiones destinadas a las actividades descritas en los referidos preceptos; mientras que las inversiones que no estén destinadas a las actividades anteriormente señaladas, seguirán sujetándose a los porcentajes máximos autorizados de deducción previstos en los artículos 33 y 34 de la Ley del ISR.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78C55E6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B386936" w14:textId="77777777" w:rsidR="0098530D" w:rsidRPr="00AB7CA1" w:rsidRDefault="0098530D" w:rsidP="00552502">
            <w:pPr>
              <w:pStyle w:val="Texto"/>
              <w:spacing w:line="222"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E2912DC" w14:textId="77777777" w:rsidR="0098530D" w:rsidRPr="00AB7CA1" w:rsidRDefault="0098530D" w:rsidP="00552502">
            <w:pPr>
              <w:pStyle w:val="Texto"/>
              <w:spacing w:line="222" w:lineRule="exact"/>
              <w:ind w:firstLine="0"/>
              <w:jc w:val="center"/>
              <w:rPr>
                <w:b/>
              </w:rPr>
            </w:pPr>
            <w:r w:rsidRPr="00AB7CA1">
              <w:rPr>
                <w:b/>
              </w:rPr>
              <w:t>Primer antecedente</w:t>
            </w:r>
          </w:p>
        </w:tc>
      </w:tr>
      <w:tr w:rsidR="0098530D" w:rsidRPr="00AB7CA1" w14:paraId="1AE3356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6C2B4FC" w14:textId="77777777" w:rsidR="0098530D" w:rsidRPr="00AB7CA1" w:rsidRDefault="0098530D" w:rsidP="00552502">
            <w:pPr>
              <w:pStyle w:val="Texto"/>
              <w:spacing w:line="222" w:lineRule="exact"/>
              <w:ind w:firstLine="0"/>
            </w:pPr>
            <w:r w:rsidRPr="00AB7CA1">
              <w:lastRenderedPageBreak/>
              <w:t xml:space="preserve">RMF para 2017 </w:t>
            </w:r>
          </w:p>
        </w:tc>
        <w:tc>
          <w:tcPr>
            <w:tcW w:w="3237" w:type="pct"/>
            <w:tcBorders>
              <w:top w:val="single" w:sz="6" w:space="0" w:color="auto"/>
              <w:left w:val="single" w:sz="6" w:space="0" w:color="auto"/>
              <w:bottom w:val="single" w:sz="6" w:space="0" w:color="auto"/>
              <w:right w:val="single" w:sz="6" w:space="0" w:color="auto"/>
            </w:tcBorders>
          </w:tcPr>
          <w:p w14:paraId="36A60A3A" w14:textId="77777777" w:rsidR="0098530D" w:rsidRPr="00AB7CA1" w:rsidRDefault="0098530D" w:rsidP="00552502">
            <w:pPr>
              <w:pStyle w:val="Texto"/>
              <w:spacing w:line="222" w:lineRule="exact"/>
              <w:ind w:firstLine="0"/>
            </w:pPr>
            <w:r w:rsidRPr="00AB7CA1">
              <w:t>Publicada en el DOF el 23 de diciembre de 2016, Anexo 7, publicado en el DOF el 27 de diciembre de 2016.</w:t>
            </w:r>
          </w:p>
        </w:tc>
      </w:tr>
    </w:tbl>
    <w:p w14:paraId="198389B5" w14:textId="77777777" w:rsidR="0098530D" w:rsidRDefault="0098530D" w:rsidP="0098530D">
      <w:pPr>
        <w:pStyle w:val="Texto"/>
        <w:spacing w:line="226" w:lineRule="exact"/>
        <w:ind w:left="864" w:hanging="576"/>
        <w:rPr>
          <w:b/>
        </w:rPr>
      </w:pPr>
      <w:r w:rsidRPr="00AB7CA1">
        <w:rPr>
          <w:b/>
        </w:rPr>
        <w:t>B.</w:t>
      </w:r>
      <w:r w:rsidRPr="00AB7CA1">
        <w:rPr>
          <w:b/>
        </w:rPr>
        <w:tab/>
        <w:t>Criterios normativos derogados.</w:t>
      </w:r>
    </w:p>
    <w:p w14:paraId="66469275" w14:textId="77777777" w:rsidR="0098530D" w:rsidRDefault="0098530D" w:rsidP="0098530D">
      <w:pPr>
        <w:pStyle w:val="Texto"/>
        <w:spacing w:line="226" w:lineRule="exact"/>
        <w:ind w:left="864" w:firstLine="0"/>
      </w:pPr>
      <w:r w:rsidRPr="00AB7CA1">
        <w:t>Los siguientes criterios continuarán surtiendo efectos respecto de las situaciones jurídicas o de hecho que en su momento regularon:</w:t>
      </w:r>
    </w:p>
    <w:p w14:paraId="3C6D8B10" w14:textId="77777777" w:rsidR="0098530D" w:rsidRDefault="0098530D" w:rsidP="0098530D">
      <w:pPr>
        <w:pStyle w:val="Texto"/>
        <w:spacing w:line="226" w:lineRule="exact"/>
        <w:ind w:left="1584" w:hanging="720"/>
        <w:rPr>
          <w:b/>
        </w:rPr>
      </w:pPr>
      <w:r w:rsidRPr="00AB7CA1">
        <w:rPr>
          <w:b/>
        </w:rPr>
        <w:t>I.</w:t>
      </w:r>
      <w:r w:rsidRPr="00AB7CA1">
        <w:rPr>
          <w:b/>
        </w:rPr>
        <w:tab/>
        <w:t>Criterios del CFF</w:t>
      </w:r>
    </w:p>
    <w:p w14:paraId="517CC89E" w14:textId="77777777" w:rsidR="0098530D" w:rsidRDefault="0098530D" w:rsidP="0098530D">
      <w:pPr>
        <w:pStyle w:val="Texto"/>
        <w:spacing w:line="226" w:lineRule="exact"/>
        <w:ind w:left="2736" w:hanging="1152"/>
        <w:rPr>
          <w:b/>
        </w:rPr>
      </w:pPr>
      <w:r w:rsidRPr="00AB7CA1">
        <w:rPr>
          <w:b/>
        </w:rPr>
        <w:t>7/CFF/N</w:t>
      </w:r>
      <w:r w:rsidRPr="00AB7CA1">
        <w:rPr>
          <w:b/>
        </w:rPr>
        <w:tab/>
        <w:t>Actualización de contribuciones, aprovechamientos y compensación de saldos a favor del contribuyente.</w:t>
      </w:r>
    </w:p>
    <w:p w14:paraId="3B292D24" w14:textId="77777777" w:rsidR="0098530D" w:rsidRPr="00AB7CA1" w:rsidRDefault="0098530D" w:rsidP="0098530D">
      <w:pPr>
        <w:pStyle w:val="Texto"/>
        <w:spacing w:line="226" w:lineRule="exact"/>
        <w:ind w:left="2736" w:hanging="1152"/>
      </w:pPr>
      <w:r w:rsidRPr="00AB7CA1">
        <w:rPr>
          <w:b/>
        </w:rPr>
        <w:tab/>
      </w:r>
      <w:r w:rsidRPr="00AB7CA1">
        <w:t>El artículo 17-A del CFF establece que el monto de las contribuciones, aprovechamientos, así como de las devoluciones a cargo del fisco federal, se actualizarán aplicando el factor de actualización a dichos montos. Para determinar el factor de actualización se dividirá el INPC del mes anterior al más reciente del periodo entre el citado índice del mes anterior al más antiguo del mismo periodo.</w:t>
      </w:r>
    </w:p>
    <w:p w14:paraId="35B58C74" w14:textId="77777777" w:rsidR="0098530D" w:rsidRPr="00AB7CA1" w:rsidRDefault="0098530D" w:rsidP="0098530D">
      <w:pPr>
        <w:pStyle w:val="Texto"/>
        <w:spacing w:line="226" w:lineRule="exact"/>
        <w:ind w:left="2736" w:hanging="1152"/>
      </w:pPr>
      <w:r w:rsidRPr="00AB7CA1">
        <w:tab/>
        <w:t>Ahora bien, el procedimiento de actualización entró en vigor en 1990 y el mencionado artículo no señalaba el mes más reciente ni el más antiguo, sino simplemente el mes más antiguo como parámetro de inicio de cálculo, por otro lado, el considerar la inflación de diciembre de 1989 sería dar efectos retroactivos a la actualización cuyo periodo empieza a partir de 1990.</w:t>
      </w:r>
    </w:p>
    <w:p w14:paraId="10DA17D5" w14:textId="77777777" w:rsidR="0098530D" w:rsidRDefault="0098530D" w:rsidP="0098530D">
      <w:pPr>
        <w:pStyle w:val="Texto"/>
        <w:spacing w:line="226" w:lineRule="exact"/>
        <w:ind w:left="2736" w:hanging="1152"/>
      </w:pPr>
      <w:r w:rsidRPr="00AB7CA1">
        <w:tab/>
        <w:t>En este contexto, cuando de conformidad con las disposiciones fiscales deba efectuarse la actualización de contribuciones, aprovechamientos y devoluciones a cargo del fisco federal que correspondan al ejercicio fiscal de 1989 o a ejercicios anteriores, se considerará que enero de 1990 es el mes más antiguo del periodo y, en consecuencia, que el mes inmediato anterior es diciembre de 1989.</w:t>
      </w:r>
    </w:p>
    <w:p w14:paraId="19D10A1E" w14:textId="77777777" w:rsidR="0098530D" w:rsidRDefault="0098530D" w:rsidP="0098530D">
      <w:pPr>
        <w:pStyle w:val="Texto"/>
        <w:spacing w:line="226" w:lineRule="exact"/>
        <w:ind w:left="2736" w:hanging="1152"/>
      </w:pPr>
      <w:r w:rsidRPr="00AB7CA1">
        <w:tab/>
        <w:t>Lo anterior, ya que el ARTÍCULO SEGUNDO, fracción II de las DISPOSICIONES TRANSITORIAS de la ley que establece, reforma, adiciona y deroga diversas disposiciones fiscales y que adiciona la LGSM, publicada en el DOF el 28 de diciembre de 1989, señala que el mes más antiguo del periodo es el de diciembre de 1989.</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9A630E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037DDC2C" w14:textId="77777777" w:rsidR="0098530D" w:rsidRPr="00AB7CA1" w:rsidRDefault="0098530D" w:rsidP="00552502">
            <w:pPr>
              <w:pStyle w:val="Texto"/>
              <w:spacing w:line="226"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0E742B1A" w14:textId="77777777" w:rsidR="0098530D" w:rsidRPr="00AB7CA1" w:rsidRDefault="0098530D" w:rsidP="00552502">
            <w:pPr>
              <w:pStyle w:val="Texto"/>
              <w:spacing w:line="226" w:lineRule="exact"/>
              <w:ind w:firstLine="0"/>
              <w:jc w:val="center"/>
              <w:rPr>
                <w:b/>
              </w:rPr>
            </w:pPr>
            <w:r w:rsidRPr="00AB7CA1">
              <w:rPr>
                <w:b/>
              </w:rPr>
              <w:t>Primer antecedente</w:t>
            </w:r>
          </w:p>
        </w:tc>
      </w:tr>
      <w:tr w:rsidR="0098530D" w:rsidRPr="00AB7CA1" w14:paraId="239B4027"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7ADF691" w14:textId="77777777" w:rsidR="0098530D" w:rsidRPr="00AB7CA1" w:rsidRDefault="0098530D" w:rsidP="00552502">
            <w:pPr>
              <w:pStyle w:val="Texto"/>
              <w:spacing w:line="226" w:lineRule="exact"/>
              <w:ind w:firstLine="0"/>
            </w:pPr>
            <w:r w:rsidRPr="00AB7CA1">
              <w:t>2.1.2.</w:t>
            </w:r>
          </w:p>
        </w:tc>
        <w:tc>
          <w:tcPr>
            <w:tcW w:w="3237" w:type="pct"/>
            <w:tcBorders>
              <w:top w:val="single" w:sz="6" w:space="0" w:color="auto"/>
              <w:left w:val="single" w:sz="6" w:space="0" w:color="auto"/>
              <w:bottom w:val="single" w:sz="6" w:space="0" w:color="auto"/>
              <w:right w:val="single" w:sz="6" w:space="0" w:color="auto"/>
            </w:tcBorders>
          </w:tcPr>
          <w:p w14:paraId="07D8CF74" w14:textId="77777777" w:rsidR="0098530D" w:rsidRPr="00AB7CA1" w:rsidRDefault="0098530D" w:rsidP="00552502">
            <w:pPr>
              <w:pStyle w:val="Texto"/>
              <w:spacing w:line="226" w:lineRule="exact"/>
              <w:ind w:firstLine="0"/>
            </w:pPr>
            <w:r w:rsidRPr="00AB7CA1">
              <w:t>Oficio 325-SAT-IV-C-7363 de 23 de septiembre de 1997, a través del cual se emite la Primera Actualización de la Compilación Sustantiva de Impuestos Internos.</w:t>
            </w:r>
          </w:p>
        </w:tc>
      </w:tr>
      <w:tr w:rsidR="0098530D" w:rsidRPr="00AB7CA1" w14:paraId="062A794A"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15F8D5B0" w14:textId="77777777" w:rsidR="0098530D" w:rsidRPr="00AB7CA1" w:rsidRDefault="0098530D" w:rsidP="00552502">
            <w:pPr>
              <w:pStyle w:val="Texto"/>
              <w:spacing w:line="226" w:lineRule="exact"/>
              <w:ind w:firstLine="0"/>
              <w:jc w:val="center"/>
              <w:rPr>
                <w:b/>
              </w:rPr>
            </w:pPr>
            <w:r w:rsidRPr="00AB7CA1">
              <w:rPr>
                <w:b/>
              </w:rPr>
              <w:t>Motivo de la derogación</w:t>
            </w:r>
          </w:p>
        </w:tc>
      </w:tr>
      <w:tr w:rsidR="0098530D" w:rsidRPr="00AB7CA1" w14:paraId="721318FE"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267BAFC6" w14:textId="77777777" w:rsidR="0098530D" w:rsidRPr="00AB7CA1" w:rsidRDefault="0098530D" w:rsidP="00552502">
            <w:pPr>
              <w:pStyle w:val="Texto"/>
              <w:spacing w:line="226" w:lineRule="exact"/>
              <w:ind w:firstLine="0"/>
            </w:pPr>
            <w:r w:rsidRPr="00AB7CA1">
              <w:t>El criterio normativo establece cómo se deben actualizar las contribuciones, aprovechamientos y devoluciones a cargo del fisco federal que correspondan al ejercicio de 1989 o a ejercicios anteriores.</w:t>
            </w:r>
          </w:p>
        </w:tc>
      </w:tr>
    </w:tbl>
    <w:p w14:paraId="61B2AED9" w14:textId="77777777" w:rsidR="0098530D" w:rsidRPr="00AB7CA1" w:rsidRDefault="0098530D" w:rsidP="0098530D">
      <w:pPr>
        <w:pStyle w:val="Texto"/>
        <w:spacing w:line="226" w:lineRule="exact"/>
        <w:ind w:left="2736" w:hanging="1152"/>
        <w:rPr>
          <w:b/>
        </w:rPr>
      </w:pPr>
    </w:p>
    <w:p w14:paraId="1EEAAE4D" w14:textId="77777777" w:rsidR="0098530D" w:rsidRDefault="0098530D" w:rsidP="0098530D">
      <w:pPr>
        <w:pStyle w:val="Texto"/>
        <w:spacing w:line="227" w:lineRule="exact"/>
        <w:ind w:left="2736" w:hanging="1152"/>
        <w:rPr>
          <w:b/>
        </w:rPr>
      </w:pPr>
      <w:r w:rsidRPr="00AB7CA1">
        <w:rPr>
          <w:b/>
        </w:rPr>
        <w:t>9/CFF/N</w:t>
      </w:r>
      <w:r w:rsidRPr="00AB7CA1">
        <w:rPr>
          <w:b/>
        </w:rPr>
        <w:tab/>
        <w:t>Resolución de consultas relativas a la metodología utilizada en la determinación de los precios o montos de las contraprestaciones, en operaciones con partes relacionadas. Sujetos que pueden formularlas.</w:t>
      </w:r>
    </w:p>
    <w:p w14:paraId="2C2D6FEE" w14:textId="77777777" w:rsidR="0098530D" w:rsidRPr="00AB7CA1" w:rsidRDefault="0098530D" w:rsidP="0098530D">
      <w:pPr>
        <w:pStyle w:val="Texto"/>
        <w:spacing w:line="227" w:lineRule="exact"/>
        <w:ind w:left="2736" w:hanging="1152"/>
      </w:pPr>
      <w:r w:rsidRPr="00AB7CA1">
        <w:rPr>
          <w:b/>
        </w:rPr>
        <w:tab/>
      </w:r>
      <w:r w:rsidRPr="00AB7CA1">
        <w:t>El artículo 34-A del CFF establece que las autoridades fiscales podrán resolver las consultas que formulen los interesados relativas a la metodología utilizada en la determinación de los precios o montos de las contraprestaciones, en operaciones con partes relacionadas, en los términos del artículo 179 de la Ley del ISR.</w:t>
      </w:r>
    </w:p>
    <w:p w14:paraId="662BBA87" w14:textId="77777777" w:rsidR="0098530D" w:rsidRPr="00AB7CA1" w:rsidRDefault="0098530D" w:rsidP="0098530D">
      <w:pPr>
        <w:pStyle w:val="Texto"/>
        <w:spacing w:line="227" w:lineRule="exact"/>
        <w:ind w:left="2736" w:hanging="1152"/>
      </w:pPr>
      <w:r w:rsidRPr="00AB7CA1">
        <w:lastRenderedPageBreak/>
        <w:tab/>
        <w:t>Del análisis al artículo 34-A del CFF, se desprende que la referencia que se realiza al artículo 179 de la Ley del ISR, es para los efectos del concepto de partes relacionadas que la última disposición contiene, sin distinguir si las operaciones materia de las consultas son las celebradas con partes relacionadas residentes en México o residentes en el extranjero.</w:t>
      </w:r>
    </w:p>
    <w:p w14:paraId="369FA84E" w14:textId="77777777" w:rsidR="0098530D" w:rsidRPr="00AB7CA1" w:rsidRDefault="0098530D" w:rsidP="0098530D">
      <w:pPr>
        <w:pStyle w:val="Texto"/>
        <w:spacing w:after="90"/>
        <w:ind w:left="2736" w:hanging="1152"/>
      </w:pPr>
      <w:r w:rsidRPr="00AB7CA1">
        <w:tab/>
        <w:t>En consecuencia, las personas morales que celebren operaciones con partes relacionadas residentes en México o en el extranjero, pueden ser sujetos interesados para formular las consultas a las que se refiere el artículo 34-A del CFF.</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49C01D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6089B51" w14:textId="77777777" w:rsidR="0098530D" w:rsidRPr="00AB7CA1" w:rsidRDefault="0098530D" w:rsidP="00552502">
            <w:pPr>
              <w:pStyle w:val="Texto"/>
              <w:spacing w:after="90"/>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33B4A3E" w14:textId="77777777" w:rsidR="0098530D" w:rsidRPr="00AB7CA1" w:rsidRDefault="0098530D" w:rsidP="00552502">
            <w:pPr>
              <w:pStyle w:val="Texto"/>
              <w:spacing w:after="90"/>
              <w:ind w:firstLine="0"/>
              <w:jc w:val="center"/>
              <w:rPr>
                <w:b/>
              </w:rPr>
            </w:pPr>
            <w:r w:rsidRPr="00AB7CA1">
              <w:rPr>
                <w:b/>
              </w:rPr>
              <w:t>Primer antecedente</w:t>
            </w:r>
          </w:p>
        </w:tc>
      </w:tr>
      <w:tr w:rsidR="0098530D" w:rsidRPr="00AB7CA1" w14:paraId="26F6375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0007737" w14:textId="77777777" w:rsidR="0098530D" w:rsidRPr="00AB7CA1" w:rsidRDefault="0098530D" w:rsidP="00552502">
            <w:pPr>
              <w:pStyle w:val="Texto"/>
              <w:spacing w:after="90"/>
              <w:ind w:firstLine="0"/>
            </w:pPr>
            <w:r w:rsidRPr="00AB7CA1">
              <w:t>15/2012/CFF</w:t>
            </w:r>
          </w:p>
        </w:tc>
        <w:tc>
          <w:tcPr>
            <w:tcW w:w="3237" w:type="pct"/>
            <w:tcBorders>
              <w:top w:val="single" w:sz="6" w:space="0" w:color="auto"/>
              <w:left w:val="single" w:sz="6" w:space="0" w:color="auto"/>
              <w:bottom w:val="single" w:sz="6" w:space="0" w:color="auto"/>
              <w:right w:val="single" w:sz="6" w:space="0" w:color="auto"/>
            </w:tcBorders>
          </w:tcPr>
          <w:p w14:paraId="5CEA6374" w14:textId="77777777" w:rsidR="0098530D" w:rsidRPr="00AB7CA1" w:rsidRDefault="0098530D" w:rsidP="00552502">
            <w:pPr>
              <w:pStyle w:val="Texto"/>
              <w:spacing w:after="90"/>
              <w:ind w:firstLine="0"/>
            </w:pPr>
            <w:r w:rsidRPr="00AB7CA1">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15/2012/CFF.</w:t>
            </w:r>
          </w:p>
        </w:tc>
      </w:tr>
      <w:tr w:rsidR="0098530D" w:rsidRPr="00AB7CA1" w14:paraId="1CFEE09C"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4EB5515B" w14:textId="77777777" w:rsidR="0098530D" w:rsidRPr="00AB7CA1" w:rsidRDefault="0098530D" w:rsidP="00552502">
            <w:pPr>
              <w:pStyle w:val="Texto"/>
              <w:spacing w:after="90"/>
              <w:ind w:firstLine="0"/>
              <w:jc w:val="center"/>
            </w:pPr>
            <w:r w:rsidRPr="00AB7CA1">
              <w:rPr>
                <w:b/>
              </w:rPr>
              <w:t>Derogación</w:t>
            </w:r>
          </w:p>
        </w:tc>
      </w:tr>
      <w:tr w:rsidR="0098530D" w:rsidRPr="00AB7CA1" w14:paraId="057EA407"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8FB7E43" w14:textId="77777777" w:rsidR="0098530D" w:rsidRPr="00AB7CA1" w:rsidRDefault="0098530D" w:rsidP="00552502">
            <w:pPr>
              <w:pStyle w:val="Texto"/>
              <w:spacing w:after="90"/>
              <w:ind w:firstLine="0"/>
            </w:pPr>
            <w:r w:rsidRPr="00AB7CA1">
              <w:t>RMF para 2022</w:t>
            </w:r>
          </w:p>
        </w:tc>
        <w:tc>
          <w:tcPr>
            <w:tcW w:w="3237" w:type="pct"/>
            <w:tcBorders>
              <w:top w:val="single" w:sz="6" w:space="0" w:color="auto"/>
              <w:left w:val="single" w:sz="6" w:space="0" w:color="auto"/>
              <w:bottom w:val="single" w:sz="6" w:space="0" w:color="auto"/>
              <w:right w:val="single" w:sz="6" w:space="0" w:color="auto"/>
            </w:tcBorders>
          </w:tcPr>
          <w:p w14:paraId="6327B604" w14:textId="77777777" w:rsidR="0098530D" w:rsidRPr="00AB7CA1" w:rsidRDefault="0098530D" w:rsidP="00552502">
            <w:pPr>
              <w:pStyle w:val="Texto"/>
              <w:spacing w:after="90"/>
              <w:ind w:firstLine="0"/>
            </w:pPr>
            <w:r w:rsidRPr="00AB7CA1">
              <w:t>Publicada en el DOF el 27 de diciembre de 2021. El Anexo 7 publicado en el DOF el 05 de enero de 2022.</w:t>
            </w:r>
          </w:p>
        </w:tc>
      </w:tr>
      <w:tr w:rsidR="0098530D" w:rsidRPr="00AB7CA1" w14:paraId="2631686E"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66675B96" w14:textId="77777777" w:rsidR="0098530D" w:rsidRPr="00AB7CA1" w:rsidRDefault="0098530D" w:rsidP="00552502">
            <w:pPr>
              <w:pStyle w:val="Texto"/>
              <w:spacing w:after="90"/>
              <w:ind w:firstLine="0"/>
              <w:jc w:val="center"/>
              <w:rPr>
                <w:b/>
              </w:rPr>
            </w:pPr>
            <w:r w:rsidRPr="00AB7CA1">
              <w:rPr>
                <w:b/>
              </w:rPr>
              <w:t>Motivo de la derogación</w:t>
            </w:r>
          </w:p>
        </w:tc>
      </w:tr>
      <w:tr w:rsidR="0098530D" w:rsidRPr="00AB7CA1" w14:paraId="59106C2D"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507FFCC2" w14:textId="77777777" w:rsidR="0098530D" w:rsidRPr="00AB7CA1" w:rsidRDefault="0098530D" w:rsidP="00552502">
            <w:pPr>
              <w:pStyle w:val="Texto"/>
              <w:spacing w:after="90"/>
              <w:ind w:firstLine="0"/>
            </w:pPr>
            <w:r w:rsidRPr="00AB7CA1">
              <w:t xml:space="preserve">Se deroga en virtud de que mediante Decreto publicado en el DOF el 12 de noviembre de 2021, se reformó el artículo 179 de la Ley del ISR. </w:t>
            </w:r>
          </w:p>
        </w:tc>
      </w:tr>
    </w:tbl>
    <w:p w14:paraId="6612E20C" w14:textId="77777777" w:rsidR="0098530D" w:rsidRPr="00AB7CA1" w:rsidRDefault="0098530D" w:rsidP="0098530D">
      <w:pPr>
        <w:pStyle w:val="Texto"/>
        <w:spacing w:after="90"/>
        <w:ind w:left="2736" w:hanging="1152"/>
        <w:rPr>
          <w:strike/>
        </w:rPr>
      </w:pPr>
    </w:p>
    <w:p w14:paraId="7D76CF2E" w14:textId="77777777" w:rsidR="0098530D" w:rsidRDefault="0098530D" w:rsidP="0098530D">
      <w:pPr>
        <w:pStyle w:val="Texto"/>
        <w:spacing w:after="90"/>
        <w:ind w:left="1584" w:hanging="720"/>
        <w:rPr>
          <w:b/>
        </w:rPr>
      </w:pPr>
      <w:r w:rsidRPr="00AB7CA1">
        <w:rPr>
          <w:b/>
        </w:rPr>
        <w:t>II.</w:t>
      </w:r>
      <w:r w:rsidRPr="00AB7CA1">
        <w:rPr>
          <w:b/>
        </w:rPr>
        <w:tab/>
        <w:t>Criterios de la Ley del ISR</w:t>
      </w:r>
    </w:p>
    <w:p w14:paraId="51F71C55" w14:textId="77777777" w:rsidR="0098530D" w:rsidRDefault="0098530D" w:rsidP="0098530D">
      <w:pPr>
        <w:pStyle w:val="Texto"/>
        <w:spacing w:after="90"/>
        <w:ind w:left="2736" w:hanging="1152"/>
        <w:rPr>
          <w:b/>
          <w:lang w:val="es-ES_tradnl"/>
        </w:rPr>
      </w:pPr>
      <w:r w:rsidRPr="00AB7CA1">
        <w:rPr>
          <w:b/>
        </w:rPr>
        <w:t>4/ISR/N</w:t>
      </w:r>
      <w:r w:rsidRPr="00AB7CA1">
        <w:rPr>
          <w:b/>
        </w:rPr>
        <w:tab/>
      </w:r>
      <w:r w:rsidRPr="00AB7CA1">
        <w:rPr>
          <w:b/>
          <w:lang w:val="es-ES_tradnl"/>
        </w:rPr>
        <w:t>Residencia fiscal. Formas de acreditarla.</w:t>
      </w:r>
    </w:p>
    <w:p w14:paraId="1006D634" w14:textId="77777777" w:rsidR="0098530D" w:rsidRPr="00AB7CA1" w:rsidRDefault="0098530D" w:rsidP="0098530D">
      <w:pPr>
        <w:pStyle w:val="Texto"/>
        <w:spacing w:after="90"/>
        <w:ind w:left="2736" w:hanging="1152"/>
      </w:pPr>
      <w:r w:rsidRPr="00AB7CA1">
        <w:rPr>
          <w:b/>
          <w:lang w:val="es-ES_tradnl"/>
        </w:rPr>
        <w:tab/>
      </w:r>
      <w:r w:rsidRPr="00AB7CA1">
        <w:t>El artículo 6, primer párrafo del Reglamento de la Ley del ISR establece que para los efectos del artículo 4 de dicha Ley, los contribuyentes podrán acreditar su residencia fiscal en un país con el que México tenga celebrado un tratado para evitar la doble tributación, mediante las certificaciones de residencia o de la presentación de la declaración del último ejercicio del ISR.</w:t>
      </w:r>
    </w:p>
    <w:p w14:paraId="71543CE3" w14:textId="77777777" w:rsidR="0098530D" w:rsidRPr="00AB7CA1" w:rsidRDefault="0098530D" w:rsidP="0098530D">
      <w:pPr>
        <w:pStyle w:val="Texto"/>
        <w:spacing w:after="90"/>
        <w:ind w:left="2736" w:hanging="1152"/>
      </w:pPr>
      <w:r w:rsidRPr="00AB7CA1">
        <w:tab/>
        <w:t>Por tanto, los contribuyentes podrán acreditar la residencia fiscal en un país con el que México tenga celebrado un tratado para evitar la doble tributación, mediante la certificación de residencia, o bien, la certificación de la presentación de la declaración del último ejercicio del ISR.</w:t>
      </w:r>
    </w:p>
    <w:p w14:paraId="47B0D2EA" w14:textId="77777777" w:rsidR="0098530D" w:rsidRPr="00AB7CA1" w:rsidRDefault="0098530D" w:rsidP="0098530D">
      <w:pPr>
        <w:pStyle w:val="Texto"/>
        <w:spacing w:after="90"/>
        <w:ind w:left="2736" w:hanging="1152"/>
      </w:pPr>
      <w:r w:rsidRPr="00AB7CA1">
        <w:tab/>
        <w:t>El Reglamento de la Ley del ISR en su artículo 6, primer párrafo, refiere al artículo 5 de la Ley del Impuesto en comento, sin embargo, derivado de la expedición de la Ley del ISR publicada el DOF el 11 de diciembre del 2013, el contenido del artículo 5, referido se encuentra reproducido en el artículo 4 de la Ley del ISR vigente.</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31CFB6E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5983DFC" w14:textId="77777777" w:rsidR="0098530D" w:rsidRPr="00AB7CA1" w:rsidRDefault="0098530D" w:rsidP="00552502">
            <w:pPr>
              <w:pStyle w:val="Texto"/>
              <w:spacing w:after="90"/>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1C8EEABB" w14:textId="77777777" w:rsidR="0098530D" w:rsidRPr="00AB7CA1" w:rsidRDefault="0098530D" w:rsidP="00552502">
            <w:pPr>
              <w:pStyle w:val="Texto"/>
              <w:spacing w:after="90"/>
              <w:ind w:firstLine="0"/>
              <w:jc w:val="center"/>
              <w:rPr>
                <w:b/>
              </w:rPr>
            </w:pPr>
            <w:r w:rsidRPr="00AB7CA1">
              <w:rPr>
                <w:b/>
              </w:rPr>
              <w:t>Primer antecedente</w:t>
            </w:r>
          </w:p>
        </w:tc>
      </w:tr>
      <w:tr w:rsidR="0098530D" w:rsidRPr="00AB7CA1" w14:paraId="374E207C"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8A90494" w14:textId="77777777" w:rsidR="0098530D" w:rsidRPr="00AB7CA1" w:rsidRDefault="0098530D" w:rsidP="00552502">
            <w:pPr>
              <w:pStyle w:val="Texto"/>
              <w:spacing w:after="90"/>
              <w:ind w:firstLine="0"/>
            </w:pPr>
            <w:r w:rsidRPr="00AB7CA1">
              <w:t>2012</w:t>
            </w:r>
          </w:p>
        </w:tc>
        <w:tc>
          <w:tcPr>
            <w:tcW w:w="3237" w:type="pct"/>
            <w:tcBorders>
              <w:top w:val="single" w:sz="6" w:space="0" w:color="auto"/>
              <w:left w:val="single" w:sz="6" w:space="0" w:color="auto"/>
              <w:bottom w:val="single" w:sz="6" w:space="0" w:color="auto"/>
              <w:right w:val="single" w:sz="6" w:space="0" w:color="auto"/>
            </w:tcBorders>
          </w:tcPr>
          <w:p w14:paraId="572165E0" w14:textId="77777777" w:rsidR="0098530D" w:rsidRPr="00AB7CA1" w:rsidRDefault="0098530D" w:rsidP="00552502">
            <w:pPr>
              <w:pStyle w:val="Texto"/>
              <w:spacing w:after="90"/>
              <w:ind w:firstLine="0"/>
            </w:pPr>
            <w:r w:rsidRPr="00AB7CA1">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42/2012/ISR.</w:t>
            </w:r>
          </w:p>
        </w:tc>
      </w:tr>
      <w:tr w:rsidR="0098530D" w:rsidRPr="00AB7CA1" w14:paraId="1AB3E2D4"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4B411448" w14:textId="77777777" w:rsidR="0098530D" w:rsidRPr="00AB7CA1" w:rsidRDefault="0098530D" w:rsidP="00552502">
            <w:pPr>
              <w:pStyle w:val="Texto"/>
              <w:spacing w:after="90"/>
              <w:ind w:firstLine="0"/>
              <w:jc w:val="center"/>
            </w:pPr>
            <w:r w:rsidRPr="00AB7CA1">
              <w:rPr>
                <w:b/>
              </w:rPr>
              <w:t>Derogación</w:t>
            </w:r>
          </w:p>
        </w:tc>
      </w:tr>
      <w:tr w:rsidR="0098530D" w:rsidRPr="00AB7CA1" w14:paraId="308B5D98"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2119C3C" w14:textId="77777777" w:rsidR="0098530D" w:rsidRPr="00AB7CA1" w:rsidRDefault="0098530D" w:rsidP="00552502">
            <w:pPr>
              <w:pStyle w:val="Texto"/>
              <w:spacing w:after="90"/>
              <w:ind w:firstLine="0"/>
            </w:pPr>
            <w:r w:rsidRPr="00AB7CA1">
              <w:lastRenderedPageBreak/>
              <w:t>RMF para 2016</w:t>
            </w:r>
          </w:p>
        </w:tc>
        <w:tc>
          <w:tcPr>
            <w:tcW w:w="3237" w:type="pct"/>
            <w:tcBorders>
              <w:top w:val="single" w:sz="6" w:space="0" w:color="auto"/>
              <w:left w:val="single" w:sz="6" w:space="0" w:color="auto"/>
              <w:bottom w:val="single" w:sz="6" w:space="0" w:color="auto"/>
              <w:right w:val="single" w:sz="6" w:space="0" w:color="auto"/>
            </w:tcBorders>
          </w:tcPr>
          <w:p w14:paraId="78A36CA1" w14:textId="77777777" w:rsidR="0098530D" w:rsidRPr="00AB7CA1" w:rsidRDefault="0098530D" w:rsidP="00552502">
            <w:pPr>
              <w:pStyle w:val="Texto"/>
              <w:spacing w:after="90"/>
              <w:ind w:firstLine="0"/>
            </w:pPr>
            <w:r w:rsidRPr="00AB7CA1">
              <w:t xml:space="preserve">Publicada en el DOF el 23 de diciembre de 2015. El Anexo 7 publicado en DOF el 12 de enero de 2016. </w:t>
            </w:r>
          </w:p>
        </w:tc>
      </w:tr>
      <w:tr w:rsidR="0098530D" w:rsidRPr="00AB7CA1" w14:paraId="227D6FD5"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6D92596C" w14:textId="77777777" w:rsidR="0098530D" w:rsidRPr="00AB7CA1" w:rsidRDefault="0098530D" w:rsidP="00552502">
            <w:pPr>
              <w:pStyle w:val="Texto"/>
              <w:spacing w:after="90"/>
              <w:ind w:firstLine="0"/>
              <w:jc w:val="center"/>
            </w:pPr>
            <w:r w:rsidRPr="00AB7CA1">
              <w:rPr>
                <w:b/>
              </w:rPr>
              <w:t>Motivo de la derogación</w:t>
            </w:r>
          </w:p>
        </w:tc>
      </w:tr>
      <w:tr w:rsidR="0098530D" w:rsidRPr="00AB7CA1" w14:paraId="1F1478E2"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413811ED" w14:textId="77777777" w:rsidR="0098530D" w:rsidRPr="00AB7CA1" w:rsidRDefault="0098530D" w:rsidP="00552502">
            <w:pPr>
              <w:pStyle w:val="Texto"/>
              <w:spacing w:after="90"/>
              <w:ind w:firstLine="0"/>
            </w:pPr>
            <w:r w:rsidRPr="00AB7CA1">
              <w:t>El contenido del criterio ha sido incorporado en el artículo 6, primer párrafo del Reglamento de la Ley del ISR, publicado en el DOF el 8 de octubre de 2015.</w:t>
            </w:r>
          </w:p>
        </w:tc>
      </w:tr>
    </w:tbl>
    <w:p w14:paraId="6F6E2A06" w14:textId="77777777" w:rsidR="0098530D" w:rsidRDefault="0098530D" w:rsidP="0098530D">
      <w:pPr>
        <w:pStyle w:val="Texto"/>
        <w:spacing w:line="228" w:lineRule="exact"/>
        <w:ind w:left="2736" w:hanging="1152"/>
        <w:rPr>
          <w:b/>
        </w:rPr>
      </w:pPr>
      <w:r w:rsidRPr="00AB7CA1">
        <w:rPr>
          <w:b/>
        </w:rPr>
        <w:t>14/ISR/N</w:t>
      </w:r>
      <w:r w:rsidRPr="00AB7CA1">
        <w:rPr>
          <w:b/>
        </w:rPr>
        <w:tab/>
        <w:t>Ingresos acumulables de personas distintas a casas de cambio que se dedican a la compra y venta de divisas. Sólo debe tomarse en consideración la ganancia efectivamente percibida.</w:t>
      </w:r>
    </w:p>
    <w:p w14:paraId="704F23A9" w14:textId="77777777" w:rsidR="0098530D" w:rsidRPr="00AB7CA1" w:rsidRDefault="0098530D" w:rsidP="0098530D">
      <w:pPr>
        <w:pStyle w:val="Texto"/>
        <w:spacing w:line="228" w:lineRule="exact"/>
        <w:ind w:left="2736" w:hanging="1152"/>
        <w:rPr>
          <w:b/>
        </w:rPr>
      </w:pPr>
      <w:r w:rsidRPr="00AB7CA1">
        <w:rPr>
          <w:b/>
        </w:rPr>
        <w:tab/>
      </w:r>
      <w:r w:rsidRPr="00AB7CA1">
        <w:t>De conformidad con los artículos 16 y 90 de la Ley del ISR las personas físicas y morales residentes en México, por regla general, se encuentran obligadas a acumular la totalidad de los ingresos en efectivo, en bienes, en servicio, en crédito o de cualquier otro tipo que obtengan en el ejercicio.</w:t>
      </w:r>
    </w:p>
    <w:p w14:paraId="2717F16C" w14:textId="77777777" w:rsidR="0098530D" w:rsidRPr="00AB7CA1" w:rsidRDefault="0098530D" w:rsidP="0098530D">
      <w:pPr>
        <w:pStyle w:val="Texto"/>
        <w:spacing w:line="228" w:lineRule="exact"/>
        <w:ind w:left="2736" w:hanging="1152"/>
        <w:rPr>
          <w:b/>
        </w:rPr>
      </w:pPr>
      <w:r w:rsidRPr="00AB7CA1">
        <w:rPr>
          <w:b/>
        </w:rPr>
        <w:tab/>
      </w:r>
      <w:r w:rsidRPr="00AB7CA1">
        <w:t>No obstante, en el caso de sujetos distintos a las casas de cambio que se dediquen a la compra y venta de divisas, deberán de acumular los ingresos determinados de conformidad con los artículos 8, 18, fracción IX, 44, 45, 46, 133 y 134 de la Ley del ISR; es decir, solo se deberá tomar en consideración la ganancia efectivamente percibida, en el entendido que se encuentre soportado en la contabilidad del contribuyente.</w:t>
      </w:r>
    </w:p>
    <w:p w14:paraId="5C958CC8" w14:textId="77777777" w:rsidR="0098530D" w:rsidRPr="00AB7CA1" w:rsidRDefault="0098530D" w:rsidP="0098530D">
      <w:pPr>
        <w:pStyle w:val="Texto"/>
        <w:spacing w:line="228" w:lineRule="exact"/>
        <w:ind w:left="2736" w:hanging="1152"/>
      </w:pPr>
      <w:r w:rsidRPr="00AB7CA1">
        <w:rPr>
          <w:b/>
        </w:rPr>
        <w:tab/>
      </w:r>
      <w:r w:rsidRPr="00AB7CA1">
        <w:t>Ello, con independencia de los demás ingresos que perciban, mismos que se deberán de acumular de conformidad con los artículos 16 y 90 del ordenamiento citado.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7F0A28E6"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7046B89C" w14:textId="77777777" w:rsidR="0098530D" w:rsidRPr="00AB7CA1" w:rsidRDefault="0098530D" w:rsidP="00552502">
            <w:pPr>
              <w:pStyle w:val="Texto"/>
              <w:spacing w:line="228"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4251E59" w14:textId="77777777" w:rsidR="0098530D" w:rsidRPr="00AB7CA1" w:rsidRDefault="0098530D" w:rsidP="00552502">
            <w:pPr>
              <w:pStyle w:val="Texto"/>
              <w:spacing w:line="228" w:lineRule="exact"/>
              <w:ind w:firstLine="0"/>
              <w:jc w:val="center"/>
              <w:rPr>
                <w:b/>
              </w:rPr>
            </w:pPr>
            <w:r w:rsidRPr="00AB7CA1">
              <w:rPr>
                <w:b/>
              </w:rPr>
              <w:t>Primer antecedente</w:t>
            </w:r>
          </w:p>
        </w:tc>
      </w:tr>
      <w:tr w:rsidR="0098530D" w:rsidRPr="00AB7CA1" w14:paraId="417C5D27"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3D00753" w14:textId="77777777" w:rsidR="0098530D" w:rsidRPr="00AB7CA1" w:rsidRDefault="0098530D" w:rsidP="00552502">
            <w:pPr>
              <w:pStyle w:val="Texto"/>
              <w:spacing w:line="228" w:lineRule="exact"/>
              <w:ind w:firstLine="0"/>
            </w:pPr>
            <w:r w:rsidRPr="00AB7CA1">
              <w:t>15/2001/ISR</w:t>
            </w:r>
          </w:p>
        </w:tc>
        <w:tc>
          <w:tcPr>
            <w:tcW w:w="3237" w:type="pct"/>
            <w:tcBorders>
              <w:top w:val="single" w:sz="6" w:space="0" w:color="auto"/>
              <w:left w:val="single" w:sz="6" w:space="0" w:color="auto"/>
              <w:bottom w:val="single" w:sz="6" w:space="0" w:color="auto"/>
              <w:right w:val="single" w:sz="6" w:space="0" w:color="auto"/>
            </w:tcBorders>
          </w:tcPr>
          <w:p w14:paraId="1EB5DA17" w14:textId="77777777" w:rsidR="0098530D" w:rsidRPr="00AB7CA1" w:rsidRDefault="0098530D" w:rsidP="00552502">
            <w:pPr>
              <w:pStyle w:val="Texto"/>
              <w:spacing w:line="228" w:lineRule="exact"/>
              <w:ind w:firstLine="0"/>
            </w:pPr>
            <w:r w:rsidRPr="00AB7CA1">
              <w:t>Oficio 325-SAT-A-31123 de 14 de septiembre de 2001, mediante el cual se da a conocer la nueva Compilación de Criterios Normativos 2001.</w:t>
            </w:r>
          </w:p>
        </w:tc>
      </w:tr>
      <w:tr w:rsidR="0098530D" w:rsidRPr="00AB7CA1" w14:paraId="53C02259"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5B0E6EDE" w14:textId="77777777" w:rsidR="0098530D" w:rsidRPr="00AB7CA1" w:rsidRDefault="0098530D" w:rsidP="00552502">
            <w:pPr>
              <w:pStyle w:val="Texto"/>
              <w:spacing w:line="228" w:lineRule="exact"/>
              <w:ind w:firstLine="0"/>
              <w:jc w:val="center"/>
            </w:pPr>
            <w:r w:rsidRPr="00AB7CA1">
              <w:rPr>
                <w:b/>
              </w:rPr>
              <w:t>Derogación</w:t>
            </w:r>
          </w:p>
        </w:tc>
      </w:tr>
      <w:tr w:rsidR="0098530D" w:rsidRPr="00AB7CA1" w14:paraId="2A1C3F8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CF29929" w14:textId="77777777" w:rsidR="0098530D" w:rsidRPr="00AB7CA1" w:rsidRDefault="0098530D" w:rsidP="00552502">
            <w:pPr>
              <w:pStyle w:val="Texto"/>
              <w:spacing w:line="228" w:lineRule="exact"/>
              <w:ind w:firstLine="0"/>
            </w:pPr>
            <w:r w:rsidRPr="00AB7CA1">
              <w:t>RMF para 2016</w:t>
            </w:r>
          </w:p>
        </w:tc>
        <w:tc>
          <w:tcPr>
            <w:tcW w:w="3237" w:type="pct"/>
            <w:tcBorders>
              <w:top w:val="single" w:sz="6" w:space="0" w:color="auto"/>
              <w:left w:val="single" w:sz="6" w:space="0" w:color="auto"/>
              <w:bottom w:val="single" w:sz="6" w:space="0" w:color="auto"/>
              <w:right w:val="single" w:sz="6" w:space="0" w:color="auto"/>
            </w:tcBorders>
          </w:tcPr>
          <w:p w14:paraId="51EA71CA" w14:textId="77777777" w:rsidR="0098530D" w:rsidRPr="00AB7CA1" w:rsidRDefault="0098530D" w:rsidP="00552502">
            <w:pPr>
              <w:pStyle w:val="Texto"/>
              <w:spacing w:line="228" w:lineRule="exact"/>
              <w:ind w:firstLine="0"/>
            </w:pPr>
            <w:r w:rsidRPr="00AB7CA1">
              <w:t xml:space="preserve">Publicada en el DOF el 23 de diciembre de 2015. El Anexo 7 publicado en DOF el 12 de enero de 2016. </w:t>
            </w:r>
          </w:p>
        </w:tc>
      </w:tr>
      <w:tr w:rsidR="0098530D" w:rsidRPr="00AB7CA1" w14:paraId="7117126B"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18BEF704" w14:textId="77777777" w:rsidR="0098530D" w:rsidRPr="00AB7CA1" w:rsidRDefault="0098530D" w:rsidP="00552502">
            <w:pPr>
              <w:pStyle w:val="Texto"/>
              <w:spacing w:line="228" w:lineRule="exact"/>
              <w:ind w:firstLine="0"/>
              <w:jc w:val="center"/>
            </w:pPr>
            <w:r w:rsidRPr="00AB7CA1">
              <w:rPr>
                <w:b/>
              </w:rPr>
              <w:t>Motivo de la derogación</w:t>
            </w:r>
          </w:p>
        </w:tc>
      </w:tr>
      <w:tr w:rsidR="0098530D" w:rsidRPr="00AB7CA1" w14:paraId="00D86597"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1D2A7508" w14:textId="77777777" w:rsidR="0098530D" w:rsidRPr="00AB7CA1" w:rsidRDefault="0098530D" w:rsidP="00552502">
            <w:pPr>
              <w:pStyle w:val="Texto"/>
              <w:spacing w:line="228" w:lineRule="exact"/>
              <w:ind w:firstLine="0"/>
            </w:pPr>
            <w:r w:rsidRPr="00AB7CA1">
              <w:t>El contenido del criterio ha sido incorporado en el artículo 12 del Reglamento de la Ley del ISR, publicado en el DOF el 8 de octubre de 2015.</w:t>
            </w:r>
          </w:p>
        </w:tc>
      </w:tr>
    </w:tbl>
    <w:p w14:paraId="08BDEF62" w14:textId="77777777" w:rsidR="0098530D" w:rsidRPr="00AB7CA1" w:rsidRDefault="0098530D" w:rsidP="0098530D">
      <w:pPr>
        <w:pStyle w:val="Texto"/>
        <w:spacing w:line="228" w:lineRule="exact"/>
        <w:ind w:left="2736" w:hanging="1152"/>
        <w:rPr>
          <w:b/>
          <w:strike/>
        </w:rPr>
      </w:pPr>
    </w:p>
    <w:p w14:paraId="79952571" w14:textId="77777777" w:rsidR="0098530D" w:rsidRDefault="0098530D" w:rsidP="0098530D">
      <w:pPr>
        <w:pStyle w:val="Texto"/>
        <w:spacing w:line="228" w:lineRule="exact"/>
        <w:ind w:left="2736" w:hanging="1152"/>
        <w:rPr>
          <w:b/>
        </w:rPr>
      </w:pPr>
      <w:r w:rsidRPr="00AB7CA1">
        <w:rPr>
          <w:b/>
        </w:rPr>
        <w:t>15/ISR/N</w:t>
      </w:r>
      <w:r w:rsidRPr="00AB7CA1">
        <w:rPr>
          <w:b/>
        </w:rPr>
        <w:tab/>
        <w:t>Autorización para enajenar acciones a costo fiscal. La sociedad emisora de las acciones no requiere estar constituida en México.</w:t>
      </w:r>
    </w:p>
    <w:p w14:paraId="69CA5726" w14:textId="77777777" w:rsidR="0098530D" w:rsidRPr="00AB7CA1" w:rsidRDefault="0098530D" w:rsidP="0098530D">
      <w:pPr>
        <w:pStyle w:val="Texto"/>
        <w:spacing w:line="228" w:lineRule="exact"/>
        <w:ind w:left="2736" w:hanging="1152"/>
        <w:rPr>
          <w:b/>
        </w:rPr>
      </w:pPr>
      <w:r w:rsidRPr="00AB7CA1">
        <w:rPr>
          <w:b/>
        </w:rPr>
        <w:tab/>
      </w:r>
      <w:r w:rsidRPr="00AB7CA1">
        <w:t>El artículo 24, primer párrafo de la Ley del ISR establece que las autoridades fiscales autorizarán la enajenación de acciones a costo fiscal en los casos de reestructuración de sociedades constituidas en México pertenecientes a un mismo grupo, siempre que se cumpla con los requisitos que dicho artículo indica.</w:t>
      </w:r>
    </w:p>
    <w:p w14:paraId="127E2F0A" w14:textId="77777777" w:rsidR="0098530D" w:rsidRPr="00AB7CA1" w:rsidRDefault="0098530D" w:rsidP="0098530D">
      <w:pPr>
        <w:pStyle w:val="Texto"/>
        <w:spacing w:line="228" w:lineRule="exact"/>
        <w:ind w:left="2736" w:hanging="1152"/>
        <w:rPr>
          <w:b/>
        </w:rPr>
      </w:pPr>
      <w:r w:rsidRPr="00AB7CA1">
        <w:rPr>
          <w:b/>
        </w:rPr>
        <w:tab/>
      </w:r>
      <w:r w:rsidRPr="00AB7CA1">
        <w:t xml:space="preserve">Asimismo, el último párrafo del artículo citado aclara que se considera grupo para los efectos del mismo artículo, el conjunto de sociedades cuyas acciones con derecho a voto representativas del capital social sean propiedad directa o indirecta de las mismas personas en por lo menos el 51%, sin computar las que se consideran colocadas entre el gran público </w:t>
      </w:r>
      <w:r w:rsidRPr="00AB7CA1">
        <w:lastRenderedPageBreak/>
        <w:t>inversionista conforme a la regla 3.2.12., primer párrafo de la RMF para 2015 y que hayan sido efectivamente ofrecidas y colocadas entre dicho público, salvo que hubiesen sido recompradas por el emisor.</w:t>
      </w:r>
    </w:p>
    <w:p w14:paraId="0DDF4B22" w14:textId="77777777" w:rsidR="0098530D" w:rsidRPr="00AB7CA1" w:rsidRDefault="0098530D" w:rsidP="0098530D">
      <w:pPr>
        <w:pStyle w:val="Texto"/>
        <w:spacing w:line="228" w:lineRule="exact"/>
        <w:ind w:left="2736" w:hanging="1152"/>
      </w:pPr>
      <w:r w:rsidRPr="00AB7CA1">
        <w:rPr>
          <w:b/>
        </w:rPr>
        <w:tab/>
      </w:r>
      <w:r w:rsidRPr="00AB7CA1">
        <w:t>De lo anterior, se advierte que las sociedades que deben estar constituidas en México y pertenecer al mismo grupo, en los términos del artículo 24, primer párrafo de la Ley del ISR, son la enajenante y la adquirente, por lo que la sociedad emisora de las acciones no requiere estar constituida en México, siempre que las sociedades enajenante y adquirente acrediten</w:t>
      </w:r>
      <w:r w:rsidRPr="00AB7CA1">
        <w:rPr>
          <w:b/>
        </w:rPr>
        <w:t xml:space="preserve"> </w:t>
      </w:r>
      <w:r w:rsidRPr="00AB7CA1">
        <w:t>pertenecer a un mismo grupo y se cumplan los requisitos a que se refiere el artículo 24 de la Ley del ISR y sus disposiciones reglamentarias.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05C77B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4A52092E" w14:textId="77777777" w:rsidR="0098530D" w:rsidRPr="00AB7CA1" w:rsidRDefault="0098530D" w:rsidP="00552502">
            <w:pPr>
              <w:pStyle w:val="Texto"/>
              <w:spacing w:line="254"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4836FB88" w14:textId="77777777" w:rsidR="0098530D" w:rsidRPr="00AB7CA1" w:rsidRDefault="0098530D" w:rsidP="00552502">
            <w:pPr>
              <w:pStyle w:val="Texto"/>
              <w:spacing w:line="254" w:lineRule="exact"/>
              <w:ind w:firstLine="0"/>
              <w:jc w:val="center"/>
              <w:rPr>
                <w:b/>
              </w:rPr>
            </w:pPr>
            <w:r w:rsidRPr="00AB7CA1">
              <w:rPr>
                <w:b/>
              </w:rPr>
              <w:t>Primer antecedente</w:t>
            </w:r>
          </w:p>
        </w:tc>
      </w:tr>
      <w:tr w:rsidR="0098530D" w:rsidRPr="00AB7CA1" w14:paraId="6291F9C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66A2D47" w14:textId="77777777" w:rsidR="0098530D" w:rsidRPr="00AB7CA1" w:rsidRDefault="0098530D" w:rsidP="00552502">
            <w:pPr>
              <w:pStyle w:val="Texto"/>
              <w:spacing w:line="254" w:lineRule="exact"/>
              <w:ind w:firstLine="0"/>
            </w:pPr>
            <w:r w:rsidRPr="00AB7CA1">
              <w:t>2012</w:t>
            </w:r>
          </w:p>
        </w:tc>
        <w:tc>
          <w:tcPr>
            <w:tcW w:w="3237" w:type="pct"/>
            <w:tcBorders>
              <w:top w:val="single" w:sz="6" w:space="0" w:color="auto"/>
              <w:left w:val="single" w:sz="6" w:space="0" w:color="auto"/>
              <w:bottom w:val="single" w:sz="6" w:space="0" w:color="auto"/>
              <w:right w:val="single" w:sz="6" w:space="0" w:color="auto"/>
            </w:tcBorders>
          </w:tcPr>
          <w:p w14:paraId="6257EFA8" w14:textId="77777777" w:rsidR="0098530D" w:rsidRPr="00AB7CA1" w:rsidRDefault="0098530D" w:rsidP="00552502">
            <w:pPr>
              <w:pStyle w:val="Texto"/>
              <w:spacing w:line="254" w:lineRule="exact"/>
              <w:ind w:firstLine="0"/>
            </w:pPr>
            <w:r w:rsidRPr="00AB7CA1">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54/2012/ISR.</w:t>
            </w:r>
          </w:p>
        </w:tc>
      </w:tr>
      <w:tr w:rsidR="0098530D" w:rsidRPr="00AB7CA1" w14:paraId="51BF7563"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15289A98" w14:textId="77777777" w:rsidR="0098530D" w:rsidRPr="00AB7CA1" w:rsidRDefault="0098530D" w:rsidP="00552502">
            <w:pPr>
              <w:pStyle w:val="Texto"/>
              <w:spacing w:line="254" w:lineRule="exact"/>
              <w:ind w:firstLine="0"/>
              <w:jc w:val="center"/>
            </w:pPr>
            <w:r w:rsidRPr="00AB7CA1">
              <w:rPr>
                <w:b/>
              </w:rPr>
              <w:t>Derogación</w:t>
            </w:r>
          </w:p>
        </w:tc>
      </w:tr>
      <w:tr w:rsidR="0098530D" w:rsidRPr="00AB7CA1" w14:paraId="691FC298"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9072B56" w14:textId="77777777" w:rsidR="0098530D" w:rsidRPr="00AB7CA1" w:rsidRDefault="0098530D" w:rsidP="00552502">
            <w:pPr>
              <w:pStyle w:val="Texto"/>
              <w:spacing w:line="254" w:lineRule="exact"/>
              <w:ind w:firstLine="0"/>
            </w:pPr>
            <w:r w:rsidRPr="00AB7CA1">
              <w:t>RMF para 2016</w:t>
            </w:r>
          </w:p>
        </w:tc>
        <w:tc>
          <w:tcPr>
            <w:tcW w:w="3237" w:type="pct"/>
            <w:tcBorders>
              <w:top w:val="single" w:sz="6" w:space="0" w:color="auto"/>
              <w:left w:val="single" w:sz="6" w:space="0" w:color="auto"/>
              <w:bottom w:val="single" w:sz="6" w:space="0" w:color="auto"/>
              <w:right w:val="single" w:sz="6" w:space="0" w:color="auto"/>
            </w:tcBorders>
          </w:tcPr>
          <w:p w14:paraId="631649F2" w14:textId="77777777" w:rsidR="0098530D" w:rsidRPr="00AB7CA1" w:rsidRDefault="0098530D" w:rsidP="00552502">
            <w:pPr>
              <w:pStyle w:val="Texto"/>
              <w:spacing w:line="254" w:lineRule="exact"/>
              <w:ind w:firstLine="0"/>
            </w:pPr>
            <w:r w:rsidRPr="00AB7CA1">
              <w:t xml:space="preserve">Publicada en el DOF el 23 de diciembre de 2015. El Anexo 7 publicado en DOF el 12 de enero de 2016. </w:t>
            </w:r>
          </w:p>
        </w:tc>
      </w:tr>
      <w:tr w:rsidR="0098530D" w:rsidRPr="00AB7CA1" w14:paraId="00B89EF2"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027940D3" w14:textId="77777777" w:rsidR="0098530D" w:rsidRPr="00AB7CA1" w:rsidRDefault="0098530D" w:rsidP="00552502">
            <w:pPr>
              <w:pStyle w:val="Texto"/>
              <w:spacing w:line="254" w:lineRule="exact"/>
              <w:ind w:firstLine="0"/>
              <w:jc w:val="center"/>
              <w:rPr>
                <w:b/>
              </w:rPr>
            </w:pPr>
            <w:r w:rsidRPr="00AB7CA1">
              <w:rPr>
                <w:b/>
              </w:rPr>
              <w:t>Motivo de la derogación</w:t>
            </w:r>
          </w:p>
        </w:tc>
      </w:tr>
      <w:tr w:rsidR="0098530D" w:rsidRPr="00AB7CA1" w14:paraId="7F497815"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45B6578C" w14:textId="77777777" w:rsidR="0098530D" w:rsidRPr="00AB7CA1" w:rsidRDefault="0098530D" w:rsidP="00552502">
            <w:pPr>
              <w:pStyle w:val="Texto"/>
              <w:spacing w:line="254" w:lineRule="exact"/>
              <w:ind w:firstLine="0"/>
            </w:pPr>
            <w:r w:rsidRPr="00AB7CA1">
              <w:t>El contenido del criterio ha sido incorporado en el artículo 27 del Reglamento de la Ley del ISR, publicado en el DOF el 8 de octubre de 2015.</w:t>
            </w:r>
          </w:p>
        </w:tc>
      </w:tr>
    </w:tbl>
    <w:p w14:paraId="4090AFBF" w14:textId="77777777" w:rsidR="0098530D" w:rsidRPr="00AB7CA1" w:rsidRDefault="0098530D" w:rsidP="0098530D">
      <w:pPr>
        <w:pStyle w:val="Texto"/>
        <w:spacing w:line="254" w:lineRule="exact"/>
        <w:ind w:left="2736" w:hanging="1152"/>
        <w:rPr>
          <w:b/>
          <w:strike/>
        </w:rPr>
      </w:pPr>
    </w:p>
    <w:p w14:paraId="09B2FE71" w14:textId="77777777" w:rsidR="0098530D" w:rsidRPr="00AB7CA1" w:rsidRDefault="0098530D" w:rsidP="0098530D">
      <w:pPr>
        <w:pStyle w:val="Texto"/>
        <w:spacing w:line="254" w:lineRule="exact"/>
        <w:ind w:left="2736" w:hanging="1152"/>
        <w:rPr>
          <w:b/>
        </w:rPr>
      </w:pPr>
      <w:r w:rsidRPr="00AB7CA1">
        <w:rPr>
          <w:b/>
        </w:rPr>
        <w:t>32/ISR/N</w:t>
      </w:r>
      <w:r w:rsidRPr="00AB7CA1">
        <w:rPr>
          <w:b/>
        </w:rPr>
        <w:tab/>
        <w:t>Personas morales que celebran operaciones con partes relacionadas residentes en México. Documentación e información comprobatoria que deben conservar.</w:t>
      </w:r>
    </w:p>
    <w:p w14:paraId="32D7F68A" w14:textId="77777777" w:rsidR="0098530D" w:rsidRPr="00AB7CA1" w:rsidRDefault="0098530D" w:rsidP="0098530D">
      <w:pPr>
        <w:pStyle w:val="Texto"/>
        <w:spacing w:line="254" w:lineRule="exact"/>
        <w:ind w:left="2736" w:hanging="1152"/>
      </w:pPr>
      <w:r w:rsidRPr="00AB7CA1">
        <w:rPr>
          <w:b/>
        </w:rPr>
        <w:tab/>
      </w:r>
      <w:r w:rsidRPr="00AB7CA1">
        <w:t>El artículo 76, fracción I de la Ley del ISR establece la obligación de llevar la contabilidad de conformidad con el CFF, su Reglamento y el Reglamento de la Ley del ISR, así como efectuar los registros en la misma contabilidad.</w:t>
      </w:r>
    </w:p>
    <w:p w14:paraId="2219DC88" w14:textId="77777777" w:rsidR="0098530D" w:rsidRPr="00AB7CA1" w:rsidRDefault="0098530D" w:rsidP="0098530D">
      <w:pPr>
        <w:pStyle w:val="Texto"/>
        <w:spacing w:line="254" w:lineRule="exact"/>
        <w:ind w:left="2736" w:hanging="1152"/>
      </w:pPr>
      <w:r w:rsidRPr="00AB7CA1">
        <w:tab/>
        <w:t>El artículo 28, fracción I del CFF señala que en los casos en que las disposiciones fiscales hagan referencia a la contabilidad, se entenderá que la misma se integra, entre otros conceptos, por documentación comprobatoria de ingresos y deducciones.</w:t>
      </w:r>
    </w:p>
    <w:p w14:paraId="552E236C" w14:textId="77777777" w:rsidR="0098530D" w:rsidRPr="00AB7CA1" w:rsidRDefault="0098530D" w:rsidP="0098530D">
      <w:pPr>
        <w:pStyle w:val="Texto"/>
        <w:spacing w:line="254" w:lineRule="exact"/>
        <w:ind w:left="2736" w:hanging="1152"/>
      </w:pPr>
      <w:r w:rsidRPr="00AB7CA1">
        <w:tab/>
        <w:t>El artículo 76, fracción XII de la Ley del ISR dispone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su orden.</w:t>
      </w:r>
    </w:p>
    <w:p w14:paraId="6611D427" w14:textId="77777777" w:rsidR="0098530D" w:rsidRPr="00AB7CA1" w:rsidRDefault="0098530D" w:rsidP="0098530D">
      <w:pPr>
        <w:pStyle w:val="Texto"/>
        <w:spacing w:line="254" w:lineRule="exact"/>
        <w:ind w:left="2736" w:hanging="1152"/>
        <w:rPr>
          <w:lang w:val="es-ES_tradnl"/>
        </w:rPr>
      </w:pPr>
      <w:r w:rsidRPr="00AB7CA1">
        <w:lastRenderedPageBreak/>
        <w:tab/>
        <w:t>En consecuencia, las personas morales que celebren operaciones con partes relacionadas residentes en territorio nacional, en cumplimiento de los artículos 76, fracciones I y XII de la Ley del ISR y 28 del CFF, deberán obtener y conservar la documentación comprobatoria con la que demuestren que:</w:t>
      </w:r>
    </w:p>
    <w:p w14:paraId="5504C7EA" w14:textId="77777777" w:rsidR="0098530D" w:rsidRPr="00AB7CA1" w:rsidRDefault="0098530D" w:rsidP="0098530D">
      <w:pPr>
        <w:pStyle w:val="Texto"/>
        <w:spacing w:line="254" w:lineRule="exact"/>
        <w:ind w:left="3312" w:hanging="576"/>
      </w:pPr>
      <w:r w:rsidRPr="00AB7CA1">
        <w:rPr>
          <w:b/>
        </w:rPr>
        <w:t>I.</w:t>
      </w:r>
      <w:r w:rsidRPr="00AB7CA1">
        <w:rPr>
          <w:b/>
        </w:rPr>
        <w:tab/>
      </w:r>
      <w:r w:rsidRPr="00AB7CA1">
        <w:t>El monto de sus ingresos acumulables y sus deducciones autorizadas se efectuaron considerando para esas operaciones los precios y montos de contraprestaciones que hubieran utilizado con o entre partes independientes en operaciones comparables, y</w:t>
      </w:r>
    </w:p>
    <w:p w14:paraId="33763D7E" w14:textId="77777777" w:rsidR="0098530D" w:rsidRPr="00AB7CA1" w:rsidRDefault="0098530D" w:rsidP="0098530D">
      <w:pPr>
        <w:pStyle w:val="Texto"/>
        <w:spacing w:line="254" w:lineRule="exact"/>
        <w:ind w:left="3312" w:hanging="576"/>
      </w:pPr>
      <w:r w:rsidRPr="00AB7CA1">
        <w:rPr>
          <w:b/>
        </w:rPr>
        <w:t>II.</w:t>
      </w:r>
      <w:r w:rsidRPr="00AB7CA1">
        <w:rPr>
          <w:b/>
        </w:rPr>
        <w:tab/>
      </w:r>
      <w:r w:rsidRPr="00AB7CA1">
        <w:t>Aplicaron los métodos establecidos en el artículo 180 de la Ley del ISR, en el orden que el propio numeral señala.</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FD0C586"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A21CA50" w14:textId="77777777" w:rsidR="0098530D" w:rsidRPr="00AB7CA1" w:rsidRDefault="0098530D" w:rsidP="00552502">
            <w:pPr>
              <w:pStyle w:val="Texto"/>
              <w:spacing w:after="80" w:line="213"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D5B3A19" w14:textId="77777777" w:rsidR="0098530D" w:rsidRPr="00AB7CA1" w:rsidRDefault="0098530D" w:rsidP="00552502">
            <w:pPr>
              <w:pStyle w:val="Texto"/>
              <w:spacing w:after="80" w:line="213" w:lineRule="exact"/>
              <w:ind w:firstLine="0"/>
              <w:jc w:val="center"/>
              <w:rPr>
                <w:b/>
              </w:rPr>
            </w:pPr>
            <w:r w:rsidRPr="00AB7CA1">
              <w:rPr>
                <w:b/>
              </w:rPr>
              <w:t>Primer antecedente</w:t>
            </w:r>
          </w:p>
        </w:tc>
      </w:tr>
      <w:tr w:rsidR="0098530D" w:rsidRPr="00AB7CA1" w14:paraId="2E202A3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5736637F" w14:textId="77777777" w:rsidR="0098530D" w:rsidRPr="00AB7CA1" w:rsidRDefault="0098530D" w:rsidP="00552502">
            <w:pPr>
              <w:pStyle w:val="Texto"/>
              <w:spacing w:after="80" w:line="213" w:lineRule="exact"/>
              <w:ind w:firstLine="0"/>
            </w:pPr>
            <w:r w:rsidRPr="00AB7CA1">
              <w:t>2012</w:t>
            </w:r>
          </w:p>
        </w:tc>
        <w:tc>
          <w:tcPr>
            <w:tcW w:w="3237" w:type="pct"/>
            <w:tcBorders>
              <w:top w:val="single" w:sz="6" w:space="0" w:color="auto"/>
              <w:left w:val="single" w:sz="6" w:space="0" w:color="auto"/>
              <w:bottom w:val="single" w:sz="6" w:space="0" w:color="auto"/>
              <w:right w:val="single" w:sz="6" w:space="0" w:color="auto"/>
            </w:tcBorders>
          </w:tcPr>
          <w:p w14:paraId="5C93D35B" w14:textId="77777777" w:rsidR="0098530D" w:rsidRPr="00AB7CA1" w:rsidRDefault="0098530D" w:rsidP="00552502">
            <w:pPr>
              <w:pStyle w:val="Texto"/>
              <w:spacing w:after="80" w:line="213" w:lineRule="exact"/>
              <w:ind w:firstLine="0"/>
            </w:pPr>
            <w:r w:rsidRPr="00AB7CA1">
              <w:t>Oficio 600-04-02-2012-57567 de 23 de julio 2012 mediante el cual se dan a conocer los criterios normativos aprobados en el primer semestre 2012. Oficio 600-04-02-2012-69616 de 29 de noviembre de 2012 a través del cual se da a conocer el Boletín 2012, con el número de criterio normativo 67/2012/ISR.</w:t>
            </w:r>
          </w:p>
        </w:tc>
      </w:tr>
      <w:tr w:rsidR="0098530D" w:rsidRPr="00AB7CA1" w14:paraId="3D464947"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22FF755E" w14:textId="77777777" w:rsidR="0098530D" w:rsidRPr="00AB7CA1" w:rsidRDefault="0098530D" w:rsidP="00552502">
            <w:pPr>
              <w:pStyle w:val="Texto"/>
              <w:spacing w:after="80" w:line="213" w:lineRule="exact"/>
              <w:ind w:firstLine="0"/>
              <w:jc w:val="center"/>
            </w:pPr>
            <w:r w:rsidRPr="00AB7CA1">
              <w:rPr>
                <w:b/>
              </w:rPr>
              <w:t>Derogación</w:t>
            </w:r>
          </w:p>
        </w:tc>
      </w:tr>
      <w:tr w:rsidR="0098530D" w:rsidRPr="00AB7CA1" w14:paraId="395C0D1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C75F020" w14:textId="77777777" w:rsidR="0098530D" w:rsidRPr="00AB7CA1" w:rsidRDefault="0098530D" w:rsidP="00552502">
            <w:pPr>
              <w:pStyle w:val="Texto"/>
              <w:spacing w:after="80" w:line="213" w:lineRule="exact"/>
              <w:ind w:firstLine="0"/>
            </w:pPr>
            <w:r w:rsidRPr="00AB7CA1">
              <w:t>Tercera Resolución de Modificaciones a la RMF para 2022.</w:t>
            </w:r>
          </w:p>
        </w:tc>
        <w:tc>
          <w:tcPr>
            <w:tcW w:w="3237" w:type="pct"/>
            <w:tcBorders>
              <w:top w:val="single" w:sz="6" w:space="0" w:color="auto"/>
              <w:left w:val="single" w:sz="6" w:space="0" w:color="auto"/>
              <w:bottom w:val="single" w:sz="6" w:space="0" w:color="auto"/>
              <w:right w:val="single" w:sz="6" w:space="0" w:color="auto"/>
            </w:tcBorders>
          </w:tcPr>
          <w:p w14:paraId="6389D277" w14:textId="77777777" w:rsidR="0098530D" w:rsidRPr="00AB7CA1" w:rsidRDefault="0098530D" w:rsidP="00552502">
            <w:pPr>
              <w:pStyle w:val="Texto"/>
              <w:spacing w:after="80" w:line="213" w:lineRule="exact"/>
              <w:ind w:firstLine="0"/>
            </w:pPr>
            <w:r w:rsidRPr="00AB7CA1">
              <w:t>Publicada en el DOF el 29 de abril de 2022. El Anexo 7 publicado en DOF el 06 de mayo de 2022.</w:t>
            </w:r>
          </w:p>
        </w:tc>
      </w:tr>
      <w:tr w:rsidR="0098530D" w:rsidRPr="00AB7CA1" w14:paraId="77CBD6D0"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1B6E76AF" w14:textId="77777777" w:rsidR="0098530D" w:rsidRPr="00AB7CA1" w:rsidRDefault="0098530D" w:rsidP="00552502">
            <w:pPr>
              <w:pStyle w:val="Texto"/>
              <w:spacing w:after="80" w:line="213" w:lineRule="exact"/>
              <w:ind w:firstLine="0"/>
              <w:jc w:val="center"/>
              <w:rPr>
                <w:b/>
              </w:rPr>
            </w:pPr>
            <w:r w:rsidRPr="00AB7CA1">
              <w:rPr>
                <w:b/>
              </w:rPr>
              <w:t>Motivo de la derogación</w:t>
            </w:r>
          </w:p>
        </w:tc>
      </w:tr>
      <w:tr w:rsidR="0098530D" w:rsidRPr="00AB7CA1" w14:paraId="3AA183FE"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61FCCF17" w14:textId="77777777" w:rsidR="0098530D" w:rsidRPr="00AB7CA1" w:rsidRDefault="0098530D" w:rsidP="00552502">
            <w:pPr>
              <w:pStyle w:val="Texto"/>
              <w:spacing w:after="80" w:line="213" w:lineRule="exact"/>
              <w:ind w:firstLine="0"/>
            </w:pPr>
            <w:r w:rsidRPr="00AB7CA1">
              <w:t>Se deroga derivado de la reforma fiscal publicada en el DOF el 12 de enero de 2021.</w:t>
            </w:r>
          </w:p>
        </w:tc>
      </w:tr>
    </w:tbl>
    <w:p w14:paraId="61516A8F" w14:textId="77777777" w:rsidR="0098530D" w:rsidRPr="00AB7CA1" w:rsidRDefault="0098530D" w:rsidP="0098530D">
      <w:pPr>
        <w:pStyle w:val="Texto"/>
        <w:spacing w:after="80" w:line="213" w:lineRule="exact"/>
        <w:rPr>
          <w:b/>
          <w:strike/>
        </w:rPr>
      </w:pPr>
    </w:p>
    <w:p w14:paraId="0B71CE23" w14:textId="77777777" w:rsidR="0098530D" w:rsidRPr="00AB7CA1" w:rsidRDefault="0098530D" w:rsidP="0098530D">
      <w:pPr>
        <w:pStyle w:val="Texto"/>
        <w:spacing w:after="80" w:line="213" w:lineRule="exact"/>
        <w:ind w:left="2736" w:hanging="1152"/>
        <w:rPr>
          <w:b/>
          <w:lang w:val="es-ES_tradnl"/>
        </w:rPr>
      </w:pPr>
      <w:r w:rsidRPr="00AB7CA1">
        <w:rPr>
          <w:b/>
        </w:rPr>
        <w:t>33/ISR/N</w:t>
      </w:r>
      <w:r w:rsidRPr="00AB7CA1">
        <w:rPr>
          <w:b/>
        </w:rPr>
        <w:tab/>
      </w:r>
      <w:r w:rsidRPr="00AB7CA1">
        <w:rPr>
          <w:b/>
          <w:lang w:val="es-ES_tradnl"/>
        </w:rPr>
        <w:t>Personas morales. Concepto de partes relacionadas.</w:t>
      </w:r>
    </w:p>
    <w:p w14:paraId="27FDD48E" w14:textId="77777777" w:rsidR="0098530D" w:rsidRPr="00AB7CA1" w:rsidRDefault="0098530D" w:rsidP="0098530D">
      <w:pPr>
        <w:pStyle w:val="Texto"/>
        <w:spacing w:after="80" w:line="213" w:lineRule="exact"/>
        <w:ind w:left="2736" w:hanging="1152"/>
      </w:pPr>
      <w:r w:rsidRPr="00AB7CA1">
        <w:rPr>
          <w:b/>
          <w:lang w:val="es-ES_tradnl"/>
        </w:rPr>
        <w:tab/>
      </w:r>
      <w:r w:rsidRPr="00AB7CA1">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14:paraId="4FD01C22" w14:textId="77777777" w:rsidR="0098530D" w:rsidRPr="00AB7CA1" w:rsidRDefault="0098530D" w:rsidP="0098530D">
      <w:pPr>
        <w:pStyle w:val="Texto"/>
        <w:spacing w:after="80" w:line="213" w:lineRule="exact"/>
        <w:ind w:left="2736" w:hanging="1152"/>
      </w:pPr>
      <w:r w:rsidRPr="00AB7CA1">
        <w:tab/>
        <w:t>El artículo 179, quinto párrafo de la Ley del ISR dispone que dos o más personas son partes relacionadas, cuando una participa de manera directa o indirecta en la administración, control o capital de la otra, o cuando una persona o grupo de personas participe directa o indirectamente en la administración, control o capital de dichas personas. Tratándose de asociaciones en participación, se consideran como partes relacionadas sus integrantes, así como las personas que conforme al párrafo citado se consideren partes relacionadas de dicho integrante.</w:t>
      </w:r>
    </w:p>
    <w:p w14:paraId="7DD4284D" w14:textId="77777777" w:rsidR="0098530D" w:rsidRPr="00AB7CA1" w:rsidRDefault="0098530D" w:rsidP="0098530D">
      <w:pPr>
        <w:pStyle w:val="Texto"/>
        <w:spacing w:after="80" w:line="213" w:lineRule="exact"/>
        <w:ind w:left="2736" w:hanging="1152"/>
      </w:pPr>
      <w:r w:rsidRPr="00AB7CA1">
        <w:tab/>
        <w:t>De su análisis, se observa que el artículo 179, quinto párrafo de la Ley referida, prevé una definición genérica del concepto de partes relacionadas, sin restringir su aplicación al Título en que dicha disposición se ubica y sin que exista alguna disposición que la contravenga; toda vez que las contenidas en los artículos 29, fracción II y 90, décimo primero párrafo de la Ley del ISR, solo son aplicables a dichos supuestos determinados.</w:t>
      </w:r>
    </w:p>
    <w:p w14:paraId="4F1B1E03" w14:textId="77777777" w:rsidR="0098530D" w:rsidRPr="00AB7CA1" w:rsidRDefault="0098530D" w:rsidP="0098530D">
      <w:pPr>
        <w:pStyle w:val="Texto"/>
        <w:spacing w:after="80" w:line="213" w:lineRule="exact"/>
        <w:ind w:left="2736" w:hanging="1152"/>
      </w:pPr>
      <w:r w:rsidRPr="00AB7CA1">
        <w:tab/>
        <w:t>En consecuencia, el concepto de partes relacionadas contenido en el multicitado artículo 179, quinto párrafo, es aplicable a la Ley del ISR y concretamente a la obligación prevista en el artículo 76, fracción XII de dicha Ley.</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165EA86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E5B45A9" w14:textId="77777777" w:rsidR="0098530D" w:rsidRPr="00AB7CA1" w:rsidRDefault="0098530D" w:rsidP="00552502">
            <w:pPr>
              <w:pStyle w:val="Texto"/>
              <w:spacing w:after="80" w:line="213"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E8C45CC" w14:textId="77777777" w:rsidR="0098530D" w:rsidRPr="00AB7CA1" w:rsidRDefault="0098530D" w:rsidP="00552502">
            <w:pPr>
              <w:pStyle w:val="Texto"/>
              <w:spacing w:after="80" w:line="213" w:lineRule="exact"/>
              <w:ind w:firstLine="0"/>
              <w:jc w:val="center"/>
              <w:rPr>
                <w:b/>
              </w:rPr>
            </w:pPr>
            <w:r w:rsidRPr="00AB7CA1">
              <w:rPr>
                <w:b/>
              </w:rPr>
              <w:t>Primer antecedente</w:t>
            </w:r>
          </w:p>
        </w:tc>
      </w:tr>
      <w:tr w:rsidR="0098530D" w:rsidRPr="00AB7CA1" w14:paraId="5F18A3D7"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86F7D04" w14:textId="77777777" w:rsidR="0098530D" w:rsidRPr="00AB7CA1" w:rsidRDefault="0098530D" w:rsidP="00552502">
            <w:pPr>
              <w:pStyle w:val="Texto"/>
              <w:spacing w:after="80" w:line="213" w:lineRule="exact"/>
              <w:ind w:firstLine="0"/>
            </w:pPr>
            <w:r w:rsidRPr="00AB7CA1">
              <w:lastRenderedPageBreak/>
              <w:t>2012</w:t>
            </w:r>
          </w:p>
        </w:tc>
        <w:tc>
          <w:tcPr>
            <w:tcW w:w="3237" w:type="pct"/>
            <w:tcBorders>
              <w:top w:val="single" w:sz="6" w:space="0" w:color="auto"/>
              <w:left w:val="single" w:sz="6" w:space="0" w:color="auto"/>
              <w:bottom w:val="single" w:sz="6" w:space="0" w:color="auto"/>
              <w:right w:val="single" w:sz="6" w:space="0" w:color="auto"/>
            </w:tcBorders>
          </w:tcPr>
          <w:p w14:paraId="781BD71E" w14:textId="77777777" w:rsidR="0098530D" w:rsidRPr="00AB7CA1" w:rsidRDefault="0098530D" w:rsidP="00552502">
            <w:pPr>
              <w:pStyle w:val="Texto"/>
              <w:spacing w:after="80" w:line="213" w:lineRule="exact"/>
              <w:ind w:firstLine="0"/>
            </w:pPr>
            <w:r w:rsidRPr="00AB7CA1">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68/2012/ISR.</w:t>
            </w:r>
          </w:p>
        </w:tc>
      </w:tr>
      <w:tr w:rsidR="0098530D" w:rsidRPr="00AB7CA1" w14:paraId="251562F2"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4F525861" w14:textId="77777777" w:rsidR="0098530D" w:rsidRPr="00AB7CA1" w:rsidRDefault="0098530D" w:rsidP="00552502">
            <w:pPr>
              <w:pStyle w:val="Texto"/>
              <w:spacing w:after="80" w:line="213" w:lineRule="exact"/>
              <w:ind w:firstLine="0"/>
              <w:jc w:val="center"/>
            </w:pPr>
            <w:r w:rsidRPr="00AB7CA1">
              <w:rPr>
                <w:b/>
              </w:rPr>
              <w:t>Derogación</w:t>
            </w:r>
          </w:p>
        </w:tc>
      </w:tr>
      <w:tr w:rsidR="0098530D" w:rsidRPr="00AB7CA1" w14:paraId="1A88884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081B25C" w14:textId="77777777" w:rsidR="0098530D" w:rsidRPr="00AB7CA1" w:rsidRDefault="0098530D" w:rsidP="00552502">
            <w:pPr>
              <w:pStyle w:val="Texto"/>
              <w:spacing w:after="80" w:line="213" w:lineRule="exact"/>
              <w:ind w:firstLine="0"/>
            </w:pPr>
            <w:r w:rsidRPr="00AB7CA1">
              <w:t>Tercera Resolución de Modificaciones a la RMF para 2022.</w:t>
            </w:r>
          </w:p>
        </w:tc>
        <w:tc>
          <w:tcPr>
            <w:tcW w:w="3237" w:type="pct"/>
            <w:tcBorders>
              <w:top w:val="single" w:sz="6" w:space="0" w:color="auto"/>
              <w:left w:val="single" w:sz="6" w:space="0" w:color="auto"/>
              <w:bottom w:val="single" w:sz="6" w:space="0" w:color="auto"/>
              <w:right w:val="single" w:sz="6" w:space="0" w:color="auto"/>
            </w:tcBorders>
          </w:tcPr>
          <w:p w14:paraId="4AA44219" w14:textId="77777777" w:rsidR="0098530D" w:rsidRPr="00AB7CA1" w:rsidRDefault="0098530D" w:rsidP="00552502">
            <w:pPr>
              <w:pStyle w:val="Texto"/>
              <w:spacing w:after="80" w:line="213" w:lineRule="exact"/>
              <w:ind w:firstLine="0"/>
            </w:pPr>
            <w:r w:rsidRPr="00AB7CA1">
              <w:t>Publicada en el DOF el 29 de abril de 2022. El Anexo 7 publicado en DOF el 06 de mayo de 2022.</w:t>
            </w:r>
          </w:p>
        </w:tc>
      </w:tr>
      <w:tr w:rsidR="0098530D" w:rsidRPr="00AB7CA1" w14:paraId="0E8D67B3"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02E10BC6" w14:textId="77777777" w:rsidR="0098530D" w:rsidRPr="00AB7CA1" w:rsidRDefault="0098530D" w:rsidP="00552502">
            <w:pPr>
              <w:pStyle w:val="Texto"/>
              <w:spacing w:after="80" w:line="213" w:lineRule="exact"/>
              <w:ind w:firstLine="0"/>
              <w:jc w:val="center"/>
              <w:rPr>
                <w:b/>
              </w:rPr>
            </w:pPr>
            <w:r w:rsidRPr="00AB7CA1">
              <w:rPr>
                <w:b/>
              </w:rPr>
              <w:t>Motivo de la derogación</w:t>
            </w:r>
          </w:p>
        </w:tc>
      </w:tr>
      <w:tr w:rsidR="0098530D" w:rsidRPr="00AB7CA1" w14:paraId="0339D5FB"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61CFFD6B" w14:textId="77777777" w:rsidR="0098530D" w:rsidRPr="00AB7CA1" w:rsidRDefault="0098530D" w:rsidP="00552502">
            <w:pPr>
              <w:pStyle w:val="Texto"/>
              <w:spacing w:after="80" w:line="213" w:lineRule="exact"/>
              <w:ind w:firstLine="0"/>
            </w:pPr>
            <w:r w:rsidRPr="00AB7CA1">
              <w:t>Se deroga derivado de la reforma fiscal publicada en el DOF el 12 de enero de 2021.</w:t>
            </w:r>
          </w:p>
        </w:tc>
      </w:tr>
    </w:tbl>
    <w:p w14:paraId="5CD2A512" w14:textId="77777777" w:rsidR="0098530D" w:rsidRPr="00AB7CA1" w:rsidRDefault="0098530D" w:rsidP="0098530D">
      <w:pPr>
        <w:pStyle w:val="Texto"/>
        <w:spacing w:after="86"/>
        <w:ind w:left="2736" w:hanging="1152"/>
        <w:rPr>
          <w:b/>
          <w:lang w:val="es-ES_tradnl"/>
        </w:rPr>
      </w:pPr>
      <w:r w:rsidRPr="00AB7CA1">
        <w:rPr>
          <w:b/>
        </w:rPr>
        <w:t>34/ISR/N</w:t>
      </w:r>
      <w:r w:rsidRPr="00AB7CA1">
        <w:rPr>
          <w:b/>
        </w:rPr>
        <w:tab/>
      </w:r>
      <w:r w:rsidRPr="00AB7CA1">
        <w:rPr>
          <w:b/>
          <w:lang w:val="es-ES_tradnl"/>
        </w:rPr>
        <w:t>Personas morales que celebran operaciones con partes relacionadas sin importar su residencia fiscal. Cumplimiento de obligaciones.</w:t>
      </w:r>
    </w:p>
    <w:p w14:paraId="181387CC" w14:textId="77777777" w:rsidR="0098530D" w:rsidRPr="00AB7CA1" w:rsidRDefault="0098530D" w:rsidP="0098530D">
      <w:pPr>
        <w:pStyle w:val="Texto"/>
        <w:spacing w:after="86"/>
        <w:ind w:left="2736" w:hanging="1152"/>
      </w:pPr>
      <w:r w:rsidRPr="00AB7CA1">
        <w:rPr>
          <w:b/>
          <w:lang w:val="es-ES_tradnl"/>
        </w:rPr>
        <w:tab/>
      </w:r>
      <w:r w:rsidRPr="00AB7CA1">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14:paraId="404D68F0" w14:textId="77777777" w:rsidR="0098530D" w:rsidRPr="00AB7CA1" w:rsidRDefault="0098530D" w:rsidP="0098530D">
      <w:pPr>
        <w:pStyle w:val="Texto"/>
        <w:spacing w:after="86"/>
        <w:ind w:left="2736" w:hanging="1152"/>
      </w:pPr>
      <w:r w:rsidRPr="00AB7CA1">
        <w:tab/>
        <w:t>Adicionalmente, la fracción citada dispone que las personas morales deberán aplicar los métodos establecidos en el artículo 180 de la misma Ley, en el orden referido en dicho artículo.</w:t>
      </w:r>
    </w:p>
    <w:p w14:paraId="74BF9221" w14:textId="77777777" w:rsidR="0098530D" w:rsidRPr="00AB7CA1" w:rsidRDefault="0098530D" w:rsidP="0098530D">
      <w:pPr>
        <w:pStyle w:val="Texto"/>
        <w:spacing w:after="86"/>
        <w:ind w:left="2736" w:hanging="1152"/>
      </w:pPr>
      <w:r w:rsidRPr="00AB7CA1">
        <w:tab/>
        <w:t>De su análisis, se desprende que la disposición contenida en el artículo 76, fracción XII de la Ley del ISR determina una obligación que deben cumplir todas las personas morales que celebren operaciones con partes relacionadas, sin que sea relevante la residencia fiscal de estas últimas.</w:t>
      </w:r>
    </w:p>
    <w:p w14:paraId="7455FF1C" w14:textId="77777777" w:rsidR="0098530D" w:rsidRPr="00AB7CA1" w:rsidRDefault="0098530D" w:rsidP="0098530D">
      <w:pPr>
        <w:pStyle w:val="Texto"/>
        <w:spacing w:after="86"/>
        <w:ind w:left="2736" w:hanging="1152"/>
        <w:rPr>
          <w:lang w:val="es-ES_tradnl"/>
        </w:rPr>
      </w:pPr>
      <w:r w:rsidRPr="00AB7CA1">
        <w:tab/>
        <w:t>En consecuencia, las personas morales que celebren operaciones con partes relacionadas residentes en México y las que realicen operaciones con partes relacionadas residentes en el extranjero, deberán cumplir,</w:t>
      </w:r>
      <w:r>
        <w:t xml:space="preserve"> </w:t>
      </w:r>
      <w:r w:rsidRPr="00AB7CA1">
        <w:t>entre otras obligaciones, las señaladas en el artículo 76, fracción XII de la Ley del ISR:</w:t>
      </w:r>
    </w:p>
    <w:p w14:paraId="2228D095" w14:textId="77777777" w:rsidR="0098530D" w:rsidRPr="00AB7CA1" w:rsidRDefault="0098530D" w:rsidP="0098530D">
      <w:pPr>
        <w:pStyle w:val="Texto"/>
        <w:spacing w:after="86"/>
        <w:ind w:left="3312" w:hanging="576"/>
      </w:pPr>
      <w:r w:rsidRPr="00AB7CA1">
        <w:rPr>
          <w:b/>
        </w:rPr>
        <w:t>I.</w:t>
      </w:r>
      <w:r w:rsidRPr="00AB7CA1">
        <w:tab/>
        <w:t>Determinar sus ingresos acumulables y sus deducciones autorizadas, considerando los precios y montos de contraprestaciones que hubieran utilizado con o entre partes independientes en operaciones comparables, y</w:t>
      </w:r>
    </w:p>
    <w:p w14:paraId="12D69DE7" w14:textId="77777777" w:rsidR="0098530D" w:rsidRPr="00AB7CA1" w:rsidRDefault="0098530D" w:rsidP="0098530D">
      <w:pPr>
        <w:pStyle w:val="Texto"/>
        <w:spacing w:after="86"/>
        <w:ind w:left="3312" w:hanging="576"/>
        <w:rPr>
          <w:lang w:val="es-ES_tradnl"/>
        </w:rPr>
      </w:pPr>
      <w:r w:rsidRPr="00AB7CA1">
        <w:rPr>
          <w:b/>
        </w:rPr>
        <w:t>II.</w:t>
      </w:r>
      <w:r w:rsidRPr="00AB7CA1">
        <w:rPr>
          <w:b/>
        </w:rPr>
        <w:tab/>
      </w:r>
      <w:r w:rsidRPr="00AB7CA1">
        <w:t>Aplicar los métodos establecidos en el artículo 180 de la Ley del ISR, en el orden establecido en dicho artículo.</w:t>
      </w:r>
    </w:p>
    <w:p w14:paraId="4E745C1E" w14:textId="77777777" w:rsidR="0098530D" w:rsidRDefault="0098530D" w:rsidP="0098530D">
      <w:pPr>
        <w:pStyle w:val="Texto"/>
        <w:spacing w:after="86"/>
        <w:ind w:left="2736" w:hanging="1152"/>
      </w:pPr>
      <w:r w:rsidRPr="00AB7CA1">
        <w:rPr>
          <w:lang w:val="es-ES_tradnl"/>
        </w:rPr>
        <w:tab/>
      </w:r>
      <w:r w:rsidRPr="00AB7CA1">
        <w:t>Lo anterior, sin perjuicio de lo dispuesto en el artículo 76, fracción IX de la Ley del ISR que determina la forma en que deben cumplir las obligaciones las personas morales que celebren operaciones con partes relacionadas residentes en el extranjero.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4E2C1C3C"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0FEC363" w14:textId="77777777" w:rsidR="0098530D" w:rsidRPr="00AB7CA1" w:rsidRDefault="0098530D" w:rsidP="00552502">
            <w:pPr>
              <w:pStyle w:val="Texto"/>
              <w:spacing w:after="86"/>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89A9AA9" w14:textId="77777777" w:rsidR="0098530D" w:rsidRPr="00AB7CA1" w:rsidRDefault="0098530D" w:rsidP="00552502">
            <w:pPr>
              <w:pStyle w:val="Texto"/>
              <w:spacing w:after="86"/>
              <w:ind w:firstLine="0"/>
              <w:jc w:val="center"/>
              <w:rPr>
                <w:b/>
              </w:rPr>
            </w:pPr>
            <w:r w:rsidRPr="00AB7CA1">
              <w:rPr>
                <w:b/>
              </w:rPr>
              <w:t>Primer antecedente</w:t>
            </w:r>
          </w:p>
        </w:tc>
      </w:tr>
      <w:tr w:rsidR="0098530D" w:rsidRPr="00AB7CA1" w14:paraId="5FF82FA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D4417A5" w14:textId="77777777" w:rsidR="0098530D" w:rsidRPr="00AB7CA1" w:rsidRDefault="0098530D" w:rsidP="00552502">
            <w:pPr>
              <w:pStyle w:val="Texto"/>
              <w:spacing w:after="86"/>
              <w:ind w:firstLine="0"/>
            </w:pPr>
            <w:r w:rsidRPr="00AB7CA1">
              <w:t>2012</w:t>
            </w:r>
          </w:p>
        </w:tc>
        <w:tc>
          <w:tcPr>
            <w:tcW w:w="3237" w:type="pct"/>
            <w:tcBorders>
              <w:top w:val="single" w:sz="6" w:space="0" w:color="auto"/>
              <w:left w:val="single" w:sz="6" w:space="0" w:color="auto"/>
              <w:bottom w:val="single" w:sz="6" w:space="0" w:color="auto"/>
              <w:right w:val="single" w:sz="6" w:space="0" w:color="auto"/>
            </w:tcBorders>
          </w:tcPr>
          <w:p w14:paraId="084BD35C" w14:textId="77777777" w:rsidR="0098530D" w:rsidRPr="00AB7CA1" w:rsidRDefault="0098530D" w:rsidP="00552502">
            <w:pPr>
              <w:pStyle w:val="Texto"/>
              <w:spacing w:after="86"/>
              <w:ind w:firstLine="0"/>
            </w:pPr>
            <w:r w:rsidRPr="00AB7CA1">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69/2012/ISR.</w:t>
            </w:r>
          </w:p>
        </w:tc>
      </w:tr>
      <w:tr w:rsidR="0098530D" w:rsidRPr="00AB7CA1" w14:paraId="49F27B4B"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4F494BEC" w14:textId="77777777" w:rsidR="0098530D" w:rsidRPr="00AB7CA1" w:rsidRDefault="0098530D" w:rsidP="00552502">
            <w:pPr>
              <w:pStyle w:val="Texto"/>
              <w:spacing w:after="86"/>
              <w:ind w:firstLine="0"/>
              <w:jc w:val="center"/>
            </w:pPr>
            <w:r w:rsidRPr="00AB7CA1">
              <w:rPr>
                <w:b/>
              </w:rPr>
              <w:t>Derogación</w:t>
            </w:r>
          </w:p>
        </w:tc>
      </w:tr>
      <w:tr w:rsidR="0098530D" w:rsidRPr="00AB7CA1" w14:paraId="237D213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670CEEC" w14:textId="77777777" w:rsidR="0098530D" w:rsidRPr="00AB7CA1" w:rsidRDefault="0098530D" w:rsidP="00552502">
            <w:pPr>
              <w:pStyle w:val="Texto"/>
              <w:spacing w:after="86"/>
              <w:ind w:firstLine="0"/>
            </w:pPr>
            <w:r w:rsidRPr="00AB7CA1">
              <w:lastRenderedPageBreak/>
              <w:t>Tercera Resolución de Modificaciones a la RMF para 2022.</w:t>
            </w:r>
          </w:p>
        </w:tc>
        <w:tc>
          <w:tcPr>
            <w:tcW w:w="3237" w:type="pct"/>
            <w:tcBorders>
              <w:top w:val="single" w:sz="6" w:space="0" w:color="auto"/>
              <w:left w:val="single" w:sz="6" w:space="0" w:color="auto"/>
              <w:bottom w:val="single" w:sz="6" w:space="0" w:color="auto"/>
              <w:right w:val="single" w:sz="6" w:space="0" w:color="auto"/>
            </w:tcBorders>
          </w:tcPr>
          <w:p w14:paraId="60BF3C67" w14:textId="77777777" w:rsidR="0098530D" w:rsidRPr="00AB7CA1" w:rsidRDefault="0098530D" w:rsidP="00552502">
            <w:pPr>
              <w:pStyle w:val="Texto"/>
              <w:spacing w:after="86"/>
              <w:ind w:firstLine="0"/>
            </w:pPr>
            <w:r w:rsidRPr="00AB7CA1">
              <w:t>Publicada en el DOF el 29 de abril de 2022. El Anexo 7 publicado en DOF el 06 de mayo de 2022.</w:t>
            </w:r>
          </w:p>
        </w:tc>
      </w:tr>
      <w:tr w:rsidR="0098530D" w:rsidRPr="00AB7CA1" w14:paraId="1DFC2634"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127141F6" w14:textId="77777777" w:rsidR="0098530D" w:rsidRPr="00AB7CA1" w:rsidRDefault="0098530D" w:rsidP="00552502">
            <w:pPr>
              <w:pStyle w:val="Texto"/>
              <w:spacing w:after="86"/>
              <w:ind w:firstLine="0"/>
              <w:jc w:val="center"/>
              <w:rPr>
                <w:b/>
              </w:rPr>
            </w:pPr>
            <w:r w:rsidRPr="00AB7CA1">
              <w:rPr>
                <w:b/>
              </w:rPr>
              <w:t>Motivo de la derogación</w:t>
            </w:r>
          </w:p>
        </w:tc>
      </w:tr>
      <w:tr w:rsidR="0098530D" w:rsidRPr="00AB7CA1" w14:paraId="0AC6D2A0"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6D525654" w14:textId="77777777" w:rsidR="0098530D" w:rsidRPr="00AB7CA1" w:rsidRDefault="0098530D" w:rsidP="00552502">
            <w:pPr>
              <w:pStyle w:val="Texto"/>
              <w:spacing w:after="86"/>
              <w:ind w:firstLine="0"/>
            </w:pPr>
            <w:r w:rsidRPr="00AB7CA1">
              <w:t>Se deroga derivado de la reforma fiscal publicada en el DOF el 12 de enero de 2021.</w:t>
            </w:r>
          </w:p>
        </w:tc>
      </w:tr>
    </w:tbl>
    <w:p w14:paraId="088AEC37" w14:textId="77777777" w:rsidR="0098530D" w:rsidRPr="00AB7CA1" w:rsidRDefault="0098530D" w:rsidP="0098530D">
      <w:pPr>
        <w:pStyle w:val="Texto"/>
        <w:spacing w:after="86"/>
        <w:ind w:left="2736" w:hanging="1152"/>
        <w:rPr>
          <w:b/>
          <w:strike/>
        </w:rPr>
      </w:pPr>
    </w:p>
    <w:p w14:paraId="5494B446" w14:textId="77777777" w:rsidR="0098530D" w:rsidRPr="00AB7CA1" w:rsidRDefault="0098530D" w:rsidP="0098530D">
      <w:pPr>
        <w:pStyle w:val="Texto"/>
        <w:spacing w:after="86"/>
        <w:ind w:left="2736" w:hanging="1152"/>
        <w:rPr>
          <w:b/>
        </w:rPr>
      </w:pPr>
      <w:r w:rsidRPr="00AB7CA1">
        <w:rPr>
          <w:b/>
        </w:rPr>
        <w:t>35/ISR/N</w:t>
      </w:r>
      <w:r w:rsidRPr="00AB7CA1">
        <w:rPr>
          <w:b/>
        </w:rPr>
        <w:tab/>
        <w:t>Personas morales que celebran operaciones con partes relacionadas. Aplicación de las Guías de la OCDE.</w:t>
      </w:r>
    </w:p>
    <w:p w14:paraId="67D4C768" w14:textId="77777777" w:rsidR="0098530D" w:rsidRPr="00AB7CA1" w:rsidRDefault="0098530D" w:rsidP="0098530D">
      <w:pPr>
        <w:pStyle w:val="Texto"/>
        <w:spacing w:after="86"/>
        <w:ind w:left="2736" w:hanging="1152"/>
      </w:pPr>
      <w:r w:rsidRPr="00AB7CA1">
        <w:rPr>
          <w:b/>
        </w:rPr>
        <w:tab/>
      </w:r>
      <w:r w:rsidRPr="00AB7CA1">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el orden previsto en dicho artículo.</w:t>
      </w:r>
    </w:p>
    <w:p w14:paraId="68F2C2C9" w14:textId="77777777" w:rsidR="0098530D" w:rsidRPr="00AB7CA1" w:rsidRDefault="0098530D" w:rsidP="0098530D">
      <w:pPr>
        <w:pStyle w:val="Texto"/>
        <w:spacing w:after="80" w:line="212" w:lineRule="exact"/>
        <w:ind w:left="2736" w:hanging="1152"/>
      </w:pPr>
      <w:r w:rsidRPr="00AB7CA1">
        <w:tab/>
        <w:t>El artículo 179, último párrafo de la Ley del ISR señala que, para la interpretación de lo dispuesto en el Capítulo II del Título VI de dicha Ley, serán aplicables las Guías sobre Precios de Transferencia para las Empresas Multinacionales y las Administraciones Fiscales, aprobadas por el Consejo de la OCDE en 1995, o aquéllas que las sustituyan, en la medida en que las mismas sean congruentes con las disposiciones de la Ley citada y los tratados celebrados por México; dichas Guías fueron actualizadas el 22 de julio de 2010 por el mencionado Consejo.</w:t>
      </w:r>
    </w:p>
    <w:p w14:paraId="44278956" w14:textId="77777777" w:rsidR="0098530D" w:rsidRPr="00AB7CA1" w:rsidRDefault="0098530D" w:rsidP="0098530D">
      <w:pPr>
        <w:pStyle w:val="Texto"/>
        <w:spacing w:after="80" w:line="212" w:lineRule="exact"/>
        <w:ind w:left="2736" w:hanging="1152"/>
      </w:pPr>
      <w:r w:rsidRPr="00AB7CA1">
        <w:tab/>
        <w:t>Del análisis al artículo 180 de la Ley del ISR, se desprende que se ubica dentro del Capítulo II del Título VI de la Ley en cita y, en consecuencia, para la interpretación de dicho artículo, las personas morales que celebren operaciones con partes relacionadas residentes en México, podrán aplicar las Guías a que se refiere el artículo 179, último párrafo de la misma Ley, en la medida en que las mismas sean congruentes con las disposiciones de la Ley de la materia.</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557056B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3BCC8CCC" w14:textId="77777777" w:rsidR="0098530D" w:rsidRPr="00AB7CA1" w:rsidRDefault="0098530D" w:rsidP="00552502">
            <w:pPr>
              <w:pStyle w:val="Texto"/>
              <w:spacing w:after="80" w:line="212"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1423ECF" w14:textId="77777777" w:rsidR="0098530D" w:rsidRPr="00AB7CA1" w:rsidRDefault="0098530D" w:rsidP="00552502">
            <w:pPr>
              <w:pStyle w:val="Texto"/>
              <w:spacing w:after="80" w:line="212" w:lineRule="exact"/>
              <w:ind w:firstLine="0"/>
              <w:jc w:val="center"/>
              <w:rPr>
                <w:b/>
              </w:rPr>
            </w:pPr>
            <w:r w:rsidRPr="00AB7CA1">
              <w:rPr>
                <w:b/>
              </w:rPr>
              <w:t>Primer antecedente</w:t>
            </w:r>
          </w:p>
        </w:tc>
      </w:tr>
      <w:tr w:rsidR="0098530D" w:rsidRPr="00AB7CA1" w14:paraId="199D2E12"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51BBFB01" w14:textId="77777777" w:rsidR="0098530D" w:rsidRPr="00AB7CA1" w:rsidRDefault="0098530D" w:rsidP="00552502">
            <w:pPr>
              <w:pStyle w:val="Texto"/>
              <w:spacing w:after="80" w:line="212" w:lineRule="exact"/>
              <w:ind w:firstLine="0"/>
            </w:pPr>
            <w:r w:rsidRPr="00AB7CA1">
              <w:t>2012</w:t>
            </w:r>
          </w:p>
        </w:tc>
        <w:tc>
          <w:tcPr>
            <w:tcW w:w="3237" w:type="pct"/>
            <w:tcBorders>
              <w:top w:val="single" w:sz="6" w:space="0" w:color="auto"/>
              <w:left w:val="single" w:sz="6" w:space="0" w:color="auto"/>
              <w:bottom w:val="single" w:sz="6" w:space="0" w:color="auto"/>
              <w:right w:val="single" w:sz="6" w:space="0" w:color="auto"/>
            </w:tcBorders>
          </w:tcPr>
          <w:p w14:paraId="3399429C" w14:textId="77777777" w:rsidR="0098530D" w:rsidRPr="00AB7CA1" w:rsidRDefault="0098530D" w:rsidP="00552502">
            <w:pPr>
              <w:pStyle w:val="Texto"/>
              <w:spacing w:after="80" w:line="212" w:lineRule="exact"/>
              <w:ind w:firstLine="0"/>
            </w:pPr>
            <w:r w:rsidRPr="00AB7CA1">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70/2012/ISR.</w:t>
            </w:r>
          </w:p>
        </w:tc>
      </w:tr>
      <w:tr w:rsidR="0098530D" w:rsidRPr="00AB7CA1" w14:paraId="331CEC22"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3DFD2262" w14:textId="77777777" w:rsidR="0098530D" w:rsidRPr="00AB7CA1" w:rsidRDefault="0098530D" w:rsidP="00552502">
            <w:pPr>
              <w:pStyle w:val="Texto"/>
              <w:spacing w:after="80" w:line="212" w:lineRule="exact"/>
              <w:ind w:firstLine="0"/>
              <w:jc w:val="center"/>
            </w:pPr>
            <w:r w:rsidRPr="00AB7CA1">
              <w:rPr>
                <w:b/>
              </w:rPr>
              <w:t>Derogación</w:t>
            </w:r>
          </w:p>
        </w:tc>
      </w:tr>
      <w:tr w:rsidR="0098530D" w:rsidRPr="00AB7CA1" w14:paraId="28254C68"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79BA8B8" w14:textId="77777777" w:rsidR="0098530D" w:rsidRPr="00AB7CA1" w:rsidRDefault="0098530D" w:rsidP="00552502">
            <w:pPr>
              <w:pStyle w:val="Texto"/>
              <w:spacing w:after="80" w:line="212" w:lineRule="exact"/>
              <w:ind w:firstLine="0"/>
            </w:pPr>
            <w:r w:rsidRPr="00AB7CA1">
              <w:t>Tercera Resolución de Modificaciones a la RMF para 2022.</w:t>
            </w:r>
          </w:p>
        </w:tc>
        <w:tc>
          <w:tcPr>
            <w:tcW w:w="3237" w:type="pct"/>
            <w:tcBorders>
              <w:top w:val="single" w:sz="6" w:space="0" w:color="auto"/>
              <w:left w:val="single" w:sz="6" w:space="0" w:color="auto"/>
              <w:bottom w:val="single" w:sz="6" w:space="0" w:color="auto"/>
              <w:right w:val="single" w:sz="6" w:space="0" w:color="auto"/>
            </w:tcBorders>
          </w:tcPr>
          <w:p w14:paraId="29A488EA" w14:textId="77777777" w:rsidR="0098530D" w:rsidRPr="00AB7CA1" w:rsidRDefault="0098530D" w:rsidP="00552502">
            <w:pPr>
              <w:pStyle w:val="Texto"/>
              <w:spacing w:after="80" w:line="212" w:lineRule="exact"/>
              <w:ind w:firstLine="0"/>
            </w:pPr>
            <w:r w:rsidRPr="00AB7CA1">
              <w:t>Publicada en el DOF el 29 de abril de 2022. El Anexo 7 publicado en DOF el 06 de mayo de 2022.</w:t>
            </w:r>
          </w:p>
        </w:tc>
      </w:tr>
      <w:tr w:rsidR="0098530D" w:rsidRPr="00AB7CA1" w14:paraId="6A8C3BA7"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39F0EBA0" w14:textId="77777777" w:rsidR="0098530D" w:rsidRPr="00AB7CA1" w:rsidRDefault="0098530D" w:rsidP="00552502">
            <w:pPr>
              <w:pStyle w:val="Texto"/>
              <w:spacing w:after="80" w:line="212" w:lineRule="exact"/>
              <w:ind w:firstLine="0"/>
              <w:jc w:val="center"/>
              <w:rPr>
                <w:b/>
              </w:rPr>
            </w:pPr>
            <w:r w:rsidRPr="00AB7CA1">
              <w:rPr>
                <w:b/>
              </w:rPr>
              <w:t>Motivo de la derogación</w:t>
            </w:r>
          </w:p>
        </w:tc>
      </w:tr>
      <w:tr w:rsidR="0098530D" w:rsidRPr="00AB7CA1" w14:paraId="50B9E720"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20D97067" w14:textId="77777777" w:rsidR="0098530D" w:rsidRPr="00AB7CA1" w:rsidRDefault="0098530D" w:rsidP="00552502">
            <w:pPr>
              <w:pStyle w:val="Texto"/>
              <w:spacing w:after="80" w:line="212" w:lineRule="exact"/>
              <w:ind w:firstLine="0"/>
            </w:pPr>
            <w:r w:rsidRPr="00AB7CA1">
              <w:t>Se deroga derivado de la reforma fiscal publicada en el DOF el 12 de enero de 2021.</w:t>
            </w:r>
          </w:p>
        </w:tc>
      </w:tr>
    </w:tbl>
    <w:p w14:paraId="06E489F3" w14:textId="77777777" w:rsidR="0098530D" w:rsidRPr="00AB7CA1" w:rsidRDefault="0098530D" w:rsidP="0098530D">
      <w:pPr>
        <w:pStyle w:val="Texto"/>
        <w:spacing w:after="80" w:line="212" w:lineRule="exact"/>
        <w:ind w:left="2736" w:hanging="1152"/>
        <w:rPr>
          <w:b/>
          <w:strike/>
        </w:rPr>
      </w:pPr>
    </w:p>
    <w:p w14:paraId="088CE228" w14:textId="77777777" w:rsidR="0098530D" w:rsidRPr="00AB7CA1" w:rsidRDefault="0098530D" w:rsidP="0098530D">
      <w:pPr>
        <w:pStyle w:val="Texto"/>
        <w:spacing w:after="80" w:line="212" w:lineRule="exact"/>
        <w:ind w:left="2736" w:hanging="1152"/>
        <w:rPr>
          <w:b/>
        </w:rPr>
      </w:pPr>
      <w:r w:rsidRPr="00AB7CA1">
        <w:rPr>
          <w:b/>
        </w:rPr>
        <w:t>36/ISR/N</w:t>
      </w:r>
      <w:r w:rsidRPr="00AB7CA1">
        <w:rPr>
          <w:b/>
        </w:rPr>
        <w:tab/>
        <w:t>Utilidad fiscal neta del ejercicio. En su determinación no debe restarse al resultado fiscal del ejercicio la participación de los trabajadores en las utilidades de la empresa.</w:t>
      </w:r>
    </w:p>
    <w:p w14:paraId="1FCCD8D2" w14:textId="77777777" w:rsidR="0098530D" w:rsidRPr="00AB7CA1" w:rsidRDefault="0098530D" w:rsidP="0098530D">
      <w:pPr>
        <w:pStyle w:val="Texto"/>
        <w:spacing w:after="80" w:line="212" w:lineRule="exact"/>
        <w:ind w:left="2736" w:hanging="1152"/>
      </w:pPr>
      <w:r w:rsidRPr="00AB7CA1">
        <w:rPr>
          <w:b/>
        </w:rPr>
        <w:tab/>
      </w:r>
      <w:r w:rsidRPr="00AB7CA1">
        <w:t xml:space="preserve">El artículo 77, tercer párrafo de la Ley del ISR dispone que se considera utilidad fiscal neta del ejercicio, la cantidad que se obtenga de restar al resultado fiscal del ejercicio, el ISR pagado en los términos del artículo 9 de </w:t>
      </w:r>
      <w:r w:rsidRPr="00AB7CA1">
        <w:lastRenderedPageBreak/>
        <w:t>tal Ley, el importe de las partidas no deducibles para los efectos de dicho impuesto, excepto las señaladas en el artículo 28, fracciones VIII y IX de la Ley citada, la participación de los trabajadores en las utilidades de las empresas a que se refiere el artículo 9, fracción I de la misma Ley, y el monto que se determine de conformidad con el cuarto párrafo del artículo analizado.</w:t>
      </w:r>
    </w:p>
    <w:p w14:paraId="10A6C449" w14:textId="77777777" w:rsidR="0098530D" w:rsidRPr="00AB7CA1" w:rsidRDefault="0098530D" w:rsidP="0098530D">
      <w:pPr>
        <w:pStyle w:val="Texto"/>
        <w:spacing w:after="80" w:line="212" w:lineRule="exact"/>
        <w:ind w:left="2736" w:hanging="1152"/>
      </w:pPr>
      <w:r w:rsidRPr="00AB7CA1">
        <w:tab/>
        <w:t>Al respecto, el artículo 9, segundo párrafo de la Ley en comento establece el procedimiento para determinar el resultado fiscal del ejercicio. En particular, la fracción I del párrafo referido indica que, como parte de dicho procedimiento, se obtendrá la utilidad fiscal disminuyendo de la totalidad de los ingresos acumulables obtenidos en el ejercicio, las deducciones autorizadas por el Título II de tal Ley y la participación de los trabajadores en las utilidades de las empresas pagada en el ejercicio, en los términos del artículo 123 de la Constitución Política de los Estados Unidos Mexicanos.</w:t>
      </w:r>
    </w:p>
    <w:p w14:paraId="68C4EFBF" w14:textId="77777777" w:rsidR="0098530D" w:rsidRPr="00AB7CA1" w:rsidRDefault="0098530D" w:rsidP="0098530D">
      <w:pPr>
        <w:pStyle w:val="Texto"/>
        <w:spacing w:after="80" w:line="212" w:lineRule="exact"/>
        <w:ind w:left="2736" w:hanging="1152"/>
      </w:pPr>
      <w:r w:rsidRPr="00AB7CA1">
        <w:tab/>
        <w:t>Por lo tanto, debido a que en el resultado fiscal del ejercicio ya se encuentra disminuida la participación de los trabajadores en las utilidades de las empresas pagada en el ejercicio, de conformidad con el artículo 9, segundo párrafo de la Ley del ISR, no debe restarse nuevamente dicha participación para determinar la utilidad fiscal neta del ejercicio a que se refiere el artículo 77, tercer párrafo de la Ley analizada, en razón de que es una de las excepciones a que se refiere el mencionado párrafo.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3B70FBDC"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62E5A4F" w14:textId="77777777" w:rsidR="0098530D" w:rsidRPr="00AB7CA1" w:rsidRDefault="0098530D" w:rsidP="00552502">
            <w:pPr>
              <w:pStyle w:val="Texto"/>
              <w:spacing w:after="80" w:line="213"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1B4B866E" w14:textId="77777777" w:rsidR="0098530D" w:rsidRPr="00AB7CA1" w:rsidRDefault="0098530D" w:rsidP="00552502">
            <w:pPr>
              <w:pStyle w:val="Texto"/>
              <w:spacing w:after="80" w:line="213" w:lineRule="exact"/>
              <w:ind w:firstLine="0"/>
              <w:jc w:val="center"/>
              <w:rPr>
                <w:b/>
              </w:rPr>
            </w:pPr>
            <w:r w:rsidRPr="00AB7CA1">
              <w:rPr>
                <w:b/>
              </w:rPr>
              <w:t>Primer antecedente</w:t>
            </w:r>
          </w:p>
        </w:tc>
      </w:tr>
      <w:tr w:rsidR="0098530D" w:rsidRPr="00AB7CA1" w14:paraId="2AB84130"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87AEEDA" w14:textId="77777777" w:rsidR="0098530D" w:rsidRPr="00AB7CA1" w:rsidRDefault="0098530D" w:rsidP="00552502">
            <w:pPr>
              <w:pStyle w:val="Texto"/>
              <w:spacing w:after="80" w:line="213" w:lineRule="exact"/>
              <w:ind w:firstLine="0"/>
            </w:pPr>
            <w:r w:rsidRPr="00AB7CA1">
              <w:t>2014</w:t>
            </w:r>
          </w:p>
        </w:tc>
        <w:tc>
          <w:tcPr>
            <w:tcW w:w="3237" w:type="pct"/>
            <w:tcBorders>
              <w:top w:val="single" w:sz="6" w:space="0" w:color="auto"/>
              <w:left w:val="single" w:sz="6" w:space="0" w:color="auto"/>
              <w:bottom w:val="single" w:sz="6" w:space="0" w:color="auto"/>
              <w:right w:val="single" w:sz="6" w:space="0" w:color="auto"/>
            </w:tcBorders>
          </w:tcPr>
          <w:p w14:paraId="1F2A096C" w14:textId="77777777" w:rsidR="0098530D" w:rsidRPr="00AB7CA1" w:rsidRDefault="0098530D" w:rsidP="00552502">
            <w:pPr>
              <w:pStyle w:val="Texto"/>
              <w:spacing w:after="80" w:line="213" w:lineRule="exact"/>
              <w:ind w:firstLine="0"/>
            </w:pPr>
            <w:r w:rsidRPr="00AB7CA1">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36/2014/ISR.</w:t>
            </w:r>
          </w:p>
        </w:tc>
      </w:tr>
      <w:tr w:rsidR="0098530D" w:rsidRPr="00AB7CA1" w14:paraId="7A0BBB98"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79A996D1" w14:textId="77777777" w:rsidR="0098530D" w:rsidRPr="00AB7CA1" w:rsidRDefault="0098530D" w:rsidP="00552502">
            <w:pPr>
              <w:pStyle w:val="Texto"/>
              <w:spacing w:after="80" w:line="213" w:lineRule="exact"/>
              <w:ind w:firstLine="0"/>
              <w:jc w:val="center"/>
            </w:pPr>
            <w:r w:rsidRPr="00AB7CA1">
              <w:rPr>
                <w:b/>
              </w:rPr>
              <w:t>Derogación</w:t>
            </w:r>
          </w:p>
        </w:tc>
      </w:tr>
      <w:tr w:rsidR="0098530D" w:rsidRPr="00AB7CA1" w14:paraId="70D08672"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2F28B72C" w14:textId="77777777" w:rsidR="0098530D" w:rsidRPr="00AB7CA1" w:rsidRDefault="0098530D" w:rsidP="00552502">
            <w:pPr>
              <w:pStyle w:val="Texto"/>
              <w:spacing w:after="80" w:line="213" w:lineRule="exact"/>
              <w:ind w:firstLine="0"/>
            </w:pPr>
            <w:r w:rsidRPr="00AB7CA1">
              <w:t>Tercera Resolución de Modificaciones a la RMF para 2022.</w:t>
            </w:r>
          </w:p>
        </w:tc>
        <w:tc>
          <w:tcPr>
            <w:tcW w:w="3237" w:type="pct"/>
            <w:tcBorders>
              <w:top w:val="single" w:sz="6" w:space="0" w:color="auto"/>
              <w:left w:val="single" w:sz="6" w:space="0" w:color="auto"/>
              <w:bottom w:val="single" w:sz="6" w:space="0" w:color="auto"/>
              <w:right w:val="single" w:sz="6" w:space="0" w:color="auto"/>
            </w:tcBorders>
          </w:tcPr>
          <w:p w14:paraId="4807DDB0" w14:textId="77777777" w:rsidR="0098530D" w:rsidRPr="00AB7CA1" w:rsidRDefault="0098530D" w:rsidP="00552502">
            <w:pPr>
              <w:pStyle w:val="Texto"/>
              <w:spacing w:after="80" w:line="213" w:lineRule="exact"/>
              <w:ind w:firstLine="0"/>
            </w:pPr>
            <w:r w:rsidRPr="00AB7CA1">
              <w:t>Publicada en el DOF el 29 de abril de 2022. El Anexo 7 publicado en DOF el 06 de mayo de 2022.</w:t>
            </w:r>
          </w:p>
        </w:tc>
      </w:tr>
      <w:tr w:rsidR="0098530D" w:rsidRPr="00AB7CA1" w14:paraId="6B0B6AD6"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0AC2B7A2" w14:textId="77777777" w:rsidR="0098530D" w:rsidRPr="00AB7CA1" w:rsidRDefault="0098530D" w:rsidP="00552502">
            <w:pPr>
              <w:pStyle w:val="Texto"/>
              <w:spacing w:after="80" w:line="213" w:lineRule="exact"/>
              <w:ind w:firstLine="0"/>
              <w:jc w:val="center"/>
              <w:rPr>
                <w:b/>
              </w:rPr>
            </w:pPr>
            <w:r w:rsidRPr="00AB7CA1">
              <w:rPr>
                <w:b/>
              </w:rPr>
              <w:t>Motivo de la derogación</w:t>
            </w:r>
          </w:p>
        </w:tc>
      </w:tr>
      <w:tr w:rsidR="0098530D" w:rsidRPr="00AB7CA1" w14:paraId="369CC749"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300E7B4B" w14:textId="77777777" w:rsidR="0098530D" w:rsidRPr="00AB7CA1" w:rsidRDefault="0098530D" w:rsidP="00552502">
            <w:pPr>
              <w:pStyle w:val="Texto"/>
              <w:spacing w:after="80" w:line="213" w:lineRule="exact"/>
              <w:ind w:firstLine="0"/>
            </w:pPr>
            <w:r w:rsidRPr="00AB7CA1">
              <w:t>Se deroga derivado de la reforma del artículo 77, tercer párrafo de la Ley del ISR, publicada en el DOF el 12 de noviembre de 2021.</w:t>
            </w:r>
          </w:p>
        </w:tc>
      </w:tr>
    </w:tbl>
    <w:p w14:paraId="37960998" w14:textId="77777777" w:rsidR="0098530D" w:rsidRPr="00AB7CA1" w:rsidRDefault="0098530D" w:rsidP="0098530D">
      <w:pPr>
        <w:pStyle w:val="Texto"/>
        <w:spacing w:after="80" w:line="213" w:lineRule="exact"/>
        <w:ind w:left="2736" w:hanging="1152"/>
        <w:rPr>
          <w:strike/>
        </w:rPr>
      </w:pPr>
    </w:p>
    <w:p w14:paraId="11FAF067" w14:textId="77777777" w:rsidR="0098530D" w:rsidRDefault="0098530D" w:rsidP="0098530D">
      <w:pPr>
        <w:pStyle w:val="Texto"/>
        <w:spacing w:after="80" w:line="213" w:lineRule="exact"/>
        <w:ind w:left="2736" w:hanging="1152"/>
        <w:rPr>
          <w:b/>
        </w:rPr>
      </w:pPr>
      <w:r w:rsidRPr="00AB7CA1">
        <w:rPr>
          <w:b/>
        </w:rPr>
        <w:t>45/ISR/N</w:t>
      </w:r>
      <w:r w:rsidRPr="00AB7CA1">
        <w:rPr>
          <w:b/>
        </w:rPr>
        <w:tab/>
        <w:t>Devolución de saldos a favor. No es requisito indispensable la presentación por parte del trabajador del escrito de aviso al patrón.</w:t>
      </w:r>
    </w:p>
    <w:p w14:paraId="62E54D46" w14:textId="77777777" w:rsidR="0098530D" w:rsidRPr="00AB7CA1" w:rsidRDefault="0098530D" w:rsidP="0098530D">
      <w:pPr>
        <w:pStyle w:val="Texto"/>
        <w:spacing w:after="80" w:line="213" w:lineRule="exact"/>
        <w:ind w:left="2736" w:hanging="1152"/>
        <w:rPr>
          <w:b/>
        </w:rPr>
      </w:pPr>
      <w:r w:rsidRPr="00AB7CA1">
        <w:rPr>
          <w:b/>
        </w:rPr>
        <w:tab/>
      </w:r>
      <w:r w:rsidRPr="00AB7CA1">
        <w:t>El artículo 97 de la Ley del ISR impone al retenedor, entre otras obligaciones, la de calcular el impuesto anual de cada persona que le hubiere prestado servicios personales subordinados, con excepción del supuesto en el cual el trabajador le haya comunicado por escrito, a más tardar el 31 de diciembre del ejercicio fiscal de que se trate, que presentaría la declaración anual por su cuenta según el artículo 151 del Reglamento de la Ley del ISR.</w:t>
      </w:r>
    </w:p>
    <w:p w14:paraId="11D25691" w14:textId="77777777" w:rsidR="0098530D" w:rsidRPr="00AB7CA1" w:rsidRDefault="0098530D" w:rsidP="0098530D">
      <w:pPr>
        <w:pStyle w:val="Texto"/>
        <w:spacing w:after="80" w:line="213" w:lineRule="exact"/>
        <w:ind w:left="2736" w:hanging="1152"/>
        <w:rPr>
          <w:b/>
        </w:rPr>
      </w:pPr>
      <w:r w:rsidRPr="00AB7CA1">
        <w:rPr>
          <w:b/>
        </w:rPr>
        <w:tab/>
      </w:r>
      <w:r w:rsidRPr="00AB7CA1">
        <w:t>Del mismo modo, el propio artículo 97 de la Ley del ISR, en sus párrafos quinto y sexto previene que el patrón puede compensar las cantidades a favor de su trabajador contra las retenciones futuras, y de no ser posible esto, entonces el trabajador podrá requerir a las autoridades fiscales la devolución de las cantidades no compensadas.</w:t>
      </w:r>
    </w:p>
    <w:p w14:paraId="4D4FADE0" w14:textId="77777777" w:rsidR="0098530D" w:rsidRPr="00AB7CA1" w:rsidRDefault="0098530D" w:rsidP="0098530D">
      <w:pPr>
        <w:pStyle w:val="Texto"/>
        <w:spacing w:after="80" w:line="213" w:lineRule="exact"/>
        <w:ind w:left="2736" w:hanging="1152"/>
        <w:rPr>
          <w:b/>
        </w:rPr>
      </w:pPr>
      <w:r w:rsidRPr="00AB7CA1">
        <w:rPr>
          <w:b/>
        </w:rPr>
        <w:tab/>
      </w:r>
      <w:r w:rsidRPr="00AB7CA1">
        <w:t>En este contexto, considerando la opción que tiene el trabajador de solicitar directamente su devolución, entonces es suficiente que exista un saldo a favor y se haya presentado la declaración del ejercicio para estar en condiciones de solicitar la devolución de las cantidades no compensadas, siempre que se cumpla lo señalado por el artículo 22 del CFF y las demás disposiciones aplicables.</w:t>
      </w:r>
    </w:p>
    <w:p w14:paraId="04CE42DF" w14:textId="77777777" w:rsidR="0098530D" w:rsidRPr="00AB7CA1" w:rsidRDefault="0098530D" w:rsidP="0098530D">
      <w:pPr>
        <w:pStyle w:val="Texto"/>
        <w:spacing w:after="80" w:line="213" w:lineRule="exact"/>
        <w:ind w:left="2736" w:hanging="1152"/>
      </w:pPr>
      <w:r w:rsidRPr="00AB7CA1">
        <w:rPr>
          <w:b/>
        </w:rPr>
        <w:lastRenderedPageBreak/>
        <w:tab/>
      </w:r>
      <w:r w:rsidRPr="00AB7CA1">
        <w:t>Lo señalado en el párrafo anterior, coincide con el criterio establecido por la Segunda Sala de la Suprema Corte de Justicia de la Nación mediante la tesis de jurisprudencia 2ª./J.110/2011.</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576E51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77E805FA" w14:textId="77777777" w:rsidR="0098530D" w:rsidRPr="00AB7CA1" w:rsidRDefault="0098530D" w:rsidP="00552502">
            <w:pPr>
              <w:pStyle w:val="Texto"/>
              <w:spacing w:after="80" w:line="213"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1B3A4507" w14:textId="77777777" w:rsidR="0098530D" w:rsidRPr="00AB7CA1" w:rsidRDefault="0098530D" w:rsidP="00552502">
            <w:pPr>
              <w:pStyle w:val="Texto"/>
              <w:spacing w:after="80" w:line="213" w:lineRule="exact"/>
              <w:ind w:firstLine="0"/>
              <w:jc w:val="center"/>
              <w:rPr>
                <w:b/>
              </w:rPr>
            </w:pPr>
            <w:r w:rsidRPr="00AB7CA1">
              <w:rPr>
                <w:b/>
              </w:rPr>
              <w:t>Primer antecedente</w:t>
            </w:r>
          </w:p>
        </w:tc>
      </w:tr>
      <w:tr w:rsidR="0098530D" w:rsidRPr="00AB7CA1" w14:paraId="5BCE2F0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5D3FDBD4" w14:textId="77777777" w:rsidR="0098530D" w:rsidRPr="00AB7CA1" w:rsidRDefault="0098530D" w:rsidP="00552502">
            <w:pPr>
              <w:pStyle w:val="Texto"/>
              <w:spacing w:after="80" w:line="213" w:lineRule="exact"/>
              <w:ind w:firstLine="0"/>
            </w:pPr>
            <w:r w:rsidRPr="00AB7CA1">
              <w:t>2012</w:t>
            </w:r>
          </w:p>
        </w:tc>
        <w:tc>
          <w:tcPr>
            <w:tcW w:w="3237" w:type="pct"/>
            <w:tcBorders>
              <w:top w:val="single" w:sz="6" w:space="0" w:color="auto"/>
              <w:left w:val="single" w:sz="6" w:space="0" w:color="auto"/>
              <w:bottom w:val="single" w:sz="6" w:space="0" w:color="auto"/>
              <w:right w:val="single" w:sz="6" w:space="0" w:color="auto"/>
            </w:tcBorders>
          </w:tcPr>
          <w:p w14:paraId="75E1357F" w14:textId="77777777" w:rsidR="0098530D" w:rsidRPr="00AB7CA1" w:rsidRDefault="0098530D" w:rsidP="00552502">
            <w:pPr>
              <w:pStyle w:val="Texto"/>
              <w:spacing w:after="80" w:line="213" w:lineRule="exact"/>
              <w:ind w:firstLine="0"/>
            </w:pPr>
            <w:r w:rsidRPr="00AB7CA1">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82/2012/ISR.</w:t>
            </w:r>
          </w:p>
        </w:tc>
      </w:tr>
      <w:tr w:rsidR="0098530D" w:rsidRPr="00AB7CA1" w14:paraId="6F4F2D8F"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0FEF6DAD" w14:textId="77777777" w:rsidR="0098530D" w:rsidRPr="00AB7CA1" w:rsidRDefault="0098530D" w:rsidP="00552502">
            <w:pPr>
              <w:pStyle w:val="Texto"/>
              <w:spacing w:after="80" w:line="213" w:lineRule="exact"/>
              <w:ind w:firstLine="0"/>
              <w:jc w:val="center"/>
            </w:pPr>
            <w:r w:rsidRPr="00AB7CA1">
              <w:rPr>
                <w:b/>
              </w:rPr>
              <w:t>Derogación</w:t>
            </w:r>
          </w:p>
        </w:tc>
      </w:tr>
      <w:tr w:rsidR="0098530D" w:rsidRPr="00AB7CA1" w14:paraId="0520E24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B93AB21" w14:textId="77777777" w:rsidR="0098530D" w:rsidRPr="00AB7CA1" w:rsidRDefault="0098530D" w:rsidP="00552502">
            <w:pPr>
              <w:pStyle w:val="Texto"/>
              <w:spacing w:after="80" w:line="213" w:lineRule="exact"/>
              <w:ind w:firstLine="0"/>
            </w:pPr>
            <w:r w:rsidRPr="00AB7CA1">
              <w:t>RMF para 2016</w:t>
            </w:r>
          </w:p>
        </w:tc>
        <w:tc>
          <w:tcPr>
            <w:tcW w:w="3237" w:type="pct"/>
            <w:tcBorders>
              <w:top w:val="single" w:sz="6" w:space="0" w:color="auto"/>
              <w:left w:val="single" w:sz="6" w:space="0" w:color="auto"/>
              <w:bottom w:val="single" w:sz="6" w:space="0" w:color="auto"/>
              <w:right w:val="single" w:sz="6" w:space="0" w:color="auto"/>
            </w:tcBorders>
          </w:tcPr>
          <w:p w14:paraId="7B18E548" w14:textId="77777777" w:rsidR="0098530D" w:rsidRPr="00AB7CA1" w:rsidRDefault="0098530D" w:rsidP="00552502">
            <w:pPr>
              <w:pStyle w:val="Texto"/>
              <w:spacing w:after="80" w:line="213" w:lineRule="exact"/>
              <w:ind w:firstLine="0"/>
            </w:pPr>
            <w:r w:rsidRPr="00AB7CA1">
              <w:t xml:space="preserve">Publicada en el DOF el 23 de diciembre de 2015. El Anexo 7 publicado en DOF el 12 de enero de 2016. </w:t>
            </w:r>
          </w:p>
        </w:tc>
      </w:tr>
      <w:tr w:rsidR="0098530D" w:rsidRPr="00AB7CA1" w14:paraId="3DCC42BD"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5994D56B" w14:textId="77777777" w:rsidR="0098530D" w:rsidRPr="00AB7CA1" w:rsidRDefault="0098530D" w:rsidP="00552502">
            <w:pPr>
              <w:pStyle w:val="Texto"/>
              <w:spacing w:after="80" w:line="213" w:lineRule="exact"/>
              <w:ind w:firstLine="0"/>
              <w:jc w:val="center"/>
              <w:rPr>
                <w:b/>
              </w:rPr>
            </w:pPr>
            <w:r w:rsidRPr="00AB7CA1">
              <w:rPr>
                <w:b/>
              </w:rPr>
              <w:t>Motivo de la derogación</w:t>
            </w:r>
          </w:p>
        </w:tc>
      </w:tr>
      <w:tr w:rsidR="0098530D" w:rsidRPr="00AB7CA1" w14:paraId="2269B432"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60291078" w14:textId="77777777" w:rsidR="0098530D" w:rsidRPr="00AB7CA1" w:rsidRDefault="0098530D" w:rsidP="00552502">
            <w:pPr>
              <w:pStyle w:val="Texto"/>
              <w:spacing w:after="80" w:line="213" w:lineRule="exact"/>
              <w:ind w:firstLine="0"/>
            </w:pPr>
            <w:r w:rsidRPr="00AB7CA1">
              <w:t>El contenido del criterio ha sido incorporado en el artículo 180 del Reglamento de la Ley del ISR, publicado en el DOF el 8 de octubre de 2015.</w:t>
            </w:r>
          </w:p>
        </w:tc>
      </w:tr>
    </w:tbl>
    <w:p w14:paraId="4C32AB85" w14:textId="77777777" w:rsidR="0098530D" w:rsidRPr="00AB7CA1" w:rsidRDefault="0098530D" w:rsidP="0098530D">
      <w:pPr>
        <w:pStyle w:val="Texto"/>
        <w:ind w:left="2736" w:hanging="1152"/>
        <w:rPr>
          <w:b/>
          <w:lang w:val="es-ES_tradnl"/>
        </w:rPr>
      </w:pPr>
      <w:r w:rsidRPr="00AB7CA1">
        <w:rPr>
          <w:b/>
        </w:rPr>
        <w:t>57/ISR/N</w:t>
      </w:r>
      <w:r w:rsidRPr="00AB7CA1">
        <w:rPr>
          <w:b/>
        </w:rPr>
        <w:tab/>
        <w:t>Simulación de actos jurídicos en operaciones entre partes relacionadas. Puede determinarse para ingresos procedentes de fuente de riqueza en el país, de cualquier persona obligada al pago del impuesto.</w:t>
      </w:r>
    </w:p>
    <w:p w14:paraId="4EEAE07C" w14:textId="77777777" w:rsidR="0098530D" w:rsidRDefault="0098530D" w:rsidP="0098530D">
      <w:pPr>
        <w:pStyle w:val="Texto"/>
        <w:ind w:left="2736" w:hanging="1152"/>
      </w:pPr>
      <w:r w:rsidRPr="00AB7CA1">
        <w:tab/>
        <w:t>El artículo 177, décimo noveno párrafo de la Ley del ISR establece que para los efectos del Título VI de dicha ley y de la determinación de los ingresos de fuente de riqueza en el país, las autoridades fiscales podrán, como resultado del ejercicio de sus facultades de comprobación, determinar la simulación de los actos jurídicos para efectos fiscales, siempre que se trate de operaciones entre partes relacionadas.</w:t>
      </w:r>
    </w:p>
    <w:p w14:paraId="23B2E6B7" w14:textId="77777777" w:rsidR="0098530D" w:rsidRDefault="0098530D" w:rsidP="0098530D">
      <w:pPr>
        <w:pStyle w:val="Texto"/>
        <w:ind w:left="2736" w:hanging="1152"/>
      </w:pPr>
      <w:r w:rsidRPr="00AB7CA1">
        <w:tab/>
        <w:t>El artículo 1 de la ley citada dispone que las personas físicas y las morales están obligadas al pago del ISR, respecto de sus ingresos, cualquiera que sea la fuente de riqueza de donde procedan o procedentes de fuentes de riqueza situadas en territorio nacional.</w:t>
      </w:r>
    </w:p>
    <w:p w14:paraId="2149C303" w14:textId="77777777" w:rsidR="0098530D" w:rsidRDefault="0098530D" w:rsidP="0098530D">
      <w:pPr>
        <w:pStyle w:val="Texto"/>
        <w:ind w:left="2736" w:hanging="1152"/>
      </w:pPr>
      <w:r w:rsidRPr="00AB7CA1">
        <w:tab/>
        <w:t>En consecuencia, tratándose de operaciones entre partes relacionadas, las autoridades fiscales al ejercer sus facultades de comprobación, pueden determinar la simulación de actos jurídicos para efectos fiscales, respecto de los ingresos procedentes de fuente de riqueza en el país de cualquier persona obligada al pago del ISR.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838125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5CB1D56" w14:textId="77777777" w:rsidR="0098530D" w:rsidRPr="00AB7CA1" w:rsidRDefault="0098530D" w:rsidP="00552502">
            <w:pPr>
              <w:pStyle w:val="Texto"/>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7C313E83" w14:textId="77777777" w:rsidR="0098530D" w:rsidRPr="00AB7CA1" w:rsidRDefault="0098530D" w:rsidP="00552502">
            <w:pPr>
              <w:pStyle w:val="Texto"/>
              <w:ind w:firstLine="0"/>
              <w:jc w:val="center"/>
              <w:rPr>
                <w:b/>
              </w:rPr>
            </w:pPr>
            <w:r w:rsidRPr="00AB7CA1">
              <w:rPr>
                <w:b/>
              </w:rPr>
              <w:t>Primer antecedente</w:t>
            </w:r>
          </w:p>
        </w:tc>
      </w:tr>
      <w:tr w:rsidR="0098530D" w:rsidRPr="00AB7CA1" w14:paraId="6DB26A76"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A254D7A" w14:textId="77777777" w:rsidR="0098530D" w:rsidRPr="00AB7CA1" w:rsidRDefault="0098530D" w:rsidP="00552502">
            <w:pPr>
              <w:pStyle w:val="Texto"/>
              <w:ind w:firstLine="0"/>
            </w:pPr>
            <w:r w:rsidRPr="00AB7CA1">
              <w:t>99/2013/ISR</w:t>
            </w:r>
          </w:p>
        </w:tc>
        <w:tc>
          <w:tcPr>
            <w:tcW w:w="3237" w:type="pct"/>
            <w:tcBorders>
              <w:top w:val="single" w:sz="6" w:space="0" w:color="auto"/>
              <w:left w:val="single" w:sz="6" w:space="0" w:color="auto"/>
              <w:bottom w:val="single" w:sz="6" w:space="0" w:color="auto"/>
              <w:right w:val="single" w:sz="6" w:space="0" w:color="auto"/>
            </w:tcBorders>
          </w:tcPr>
          <w:p w14:paraId="341A3D67" w14:textId="77777777" w:rsidR="0098530D" w:rsidRPr="00AB7CA1" w:rsidRDefault="0098530D" w:rsidP="00552502">
            <w:pPr>
              <w:pStyle w:val="Texto"/>
              <w:ind w:firstLine="0"/>
            </w:pPr>
            <w:r w:rsidRPr="00AB7CA1">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99/2013/ISR.</w:t>
            </w:r>
          </w:p>
        </w:tc>
      </w:tr>
      <w:tr w:rsidR="0098530D" w:rsidRPr="00AB7CA1" w14:paraId="71EDF836"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70AB2D18" w14:textId="77777777" w:rsidR="0098530D" w:rsidRPr="00AB7CA1" w:rsidRDefault="0098530D" w:rsidP="00552502">
            <w:pPr>
              <w:pStyle w:val="Texto"/>
              <w:ind w:firstLine="0"/>
              <w:jc w:val="center"/>
              <w:rPr>
                <w:b/>
              </w:rPr>
            </w:pPr>
            <w:r w:rsidRPr="00AB7CA1">
              <w:rPr>
                <w:b/>
              </w:rPr>
              <w:t>Motivo de la derogación</w:t>
            </w:r>
          </w:p>
        </w:tc>
      </w:tr>
      <w:tr w:rsidR="0098530D" w:rsidRPr="00AB7CA1" w14:paraId="3F7459EF"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5158319E" w14:textId="77777777" w:rsidR="0098530D" w:rsidRPr="00AB7CA1" w:rsidRDefault="0098530D" w:rsidP="00552502">
            <w:pPr>
              <w:pStyle w:val="Texto"/>
              <w:ind w:firstLine="0"/>
            </w:pPr>
            <w:r w:rsidRPr="00AB7CA1">
              <w:t>Se deroga derivado de la reforma al artículo 42-B del CFF, publicada en el DOF el 12 de noviembre de 2021.</w:t>
            </w:r>
          </w:p>
        </w:tc>
      </w:tr>
    </w:tbl>
    <w:p w14:paraId="6DAAF000" w14:textId="77777777" w:rsidR="0098530D" w:rsidRPr="00AB7CA1" w:rsidRDefault="0098530D" w:rsidP="0098530D">
      <w:pPr>
        <w:pStyle w:val="Texto"/>
        <w:ind w:left="2736" w:hanging="1152"/>
        <w:rPr>
          <w:b/>
        </w:rPr>
      </w:pPr>
    </w:p>
    <w:p w14:paraId="51C62975" w14:textId="77777777" w:rsidR="0098530D" w:rsidRPr="00AB7CA1" w:rsidRDefault="0098530D" w:rsidP="0098530D">
      <w:pPr>
        <w:pStyle w:val="Texto"/>
        <w:ind w:left="2736" w:hanging="1152"/>
        <w:rPr>
          <w:lang w:val="es-ES_tradnl"/>
        </w:rPr>
      </w:pPr>
      <w:r w:rsidRPr="00AB7CA1">
        <w:rPr>
          <w:b/>
        </w:rPr>
        <w:t>64/ISR/N</w:t>
      </w:r>
      <w:r w:rsidRPr="00AB7CA1">
        <w:rPr>
          <w:b/>
        </w:rPr>
        <w:tab/>
      </w:r>
      <w:r w:rsidRPr="00AB7CA1">
        <w:rPr>
          <w:b/>
          <w:lang w:val="es-ES_tradnl"/>
        </w:rPr>
        <w:t>Intereses pagados a residentes en el extranjero por sociedades financieras de objeto múltiple en operaciones entre personas relacionadas, que deriven de préstamos u otros créditos.</w:t>
      </w:r>
    </w:p>
    <w:p w14:paraId="3A315847" w14:textId="77777777" w:rsidR="0098530D" w:rsidRPr="00AB7CA1" w:rsidRDefault="0098530D" w:rsidP="0098530D">
      <w:pPr>
        <w:pStyle w:val="Texto"/>
        <w:ind w:left="2736" w:hanging="1152"/>
        <w:rPr>
          <w:lang w:val="es-ES_tradnl"/>
        </w:rPr>
      </w:pPr>
      <w:r w:rsidRPr="00AB7CA1">
        <w:rPr>
          <w:lang w:val="es-ES_tradnl"/>
        </w:rPr>
        <w:lastRenderedPageBreak/>
        <w:tab/>
        <w:t>El artículo 166, primer párrafo de la Ley del ISR señala que tratándose de ingresos por intereses se considerará que la fuente de riqueza se encuentra en territorio nacional cuando en el país se coloque o se invierta el capital, o cuando los intereses se paguen por un residente en el país o un residente en el extranjero con establecimiento permanente en el país.</w:t>
      </w:r>
    </w:p>
    <w:p w14:paraId="12146F6B" w14:textId="77777777" w:rsidR="0098530D" w:rsidRPr="00AB7CA1" w:rsidRDefault="0098530D" w:rsidP="0098530D">
      <w:pPr>
        <w:pStyle w:val="Texto"/>
        <w:ind w:left="2736" w:hanging="1152"/>
        <w:rPr>
          <w:lang w:val="es-ES_tradnl"/>
        </w:rPr>
      </w:pPr>
      <w:r w:rsidRPr="00AB7CA1">
        <w:rPr>
          <w:lang w:val="es-ES_tradnl"/>
        </w:rPr>
        <w:tab/>
        <w:t>El séptimo párrafo, fracción II, inciso a) del artículo referido dispone que el impuesto se pagará mediante retención que se efectuará por la persona que realice los pagos y se calculará aplicando a los intereses que obtenga el contribuyente, sin deducción alguna, la tasa del 4.9%, entre otros casos, tratándose de los intereses pagados a residentes en el extranjero provenientes de títulos de crédito colocados entre el gran público inversionista a que se refiere el artículo 8 de la Ley del ISR, así como la ganancia proveniente de su enajenación, los percibidos de certificados, aceptaciones, títulos de crédito, préstamos u otros créditos a cargo de instituciones de crédito, sociedades financieras de objeto múltiple que para efectos de esa Ley formen parte del sistema financiero o de organizaciones auxiliares de crédito.</w:t>
      </w:r>
    </w:p>
    <w:p w14:paraId="35030442" w14:textId="77777777" w:rsidR="0098530D" w:rsidRPr="00AB7CA1" w:rsidRDefault="0098530D" w:rsidP="0098530D">
      <w:pPr>
        <w:pStyle w:val="Texto"/>
        <w:ind w:left="2736" w:hanging="1152"/>
      </w:pPr>
      <w:r w:rsidRPr="00AB7CA1">
        <w:rPr>
          <w:lang w:val="es-ES_tradnl"/>
        </w:rPr>
        <w:tab/>
        <w:t>El décimo primer párrafo del artículo 166 aludido establece que las tasas previstas en las fracciones I y II del mismo, no serán aplicables si los beneficiarios efectivos, ya sea directa o indirectamente, en forma individual o conjuntamente con personas relacionadas, perciben más del 5% de los intereses derivados de los títulos de que se trate y son accionistas de más del 10% de las acciones con derecho a voto del emisor, directa o indirectamente, en forma individual o conjuntamente con personas relacionadas, o personas morales que en más del 20% de sus acciones son propiedad del emisor, directa o indirectamente, en forma individual o conjuntamente con personas relacionadas.</w:t>
      </w:r>
    </w:p>
    <w:p w14:paraId="4FC72E25" w14:textId="77777777" w:rsidR="0098530D" w:rsidRPr="00AB7CA1" w:rsidRDefault="0098530D" w:rsidP="0098530D">
      <w:pPr>
        <w:pStyle w:val="Texto"/>
        <w:spacing w:line="224" w:lineRule="exact"/>
        <w:ind w:left="2736" w:hanging="1152"/>
      </w:pPr>
      <w:r w:rsidRPr="00AB7CA1">
        <w:rPr>
          <w:lang w:val="es-ES_tradnl"/>
        </w:rPr>
        <w:tab/>
        <w:t>De la interpretación armónica a los referidos preceptos, se advierte que la limitante en la aplicación de la tasa del 4.9% al referirse a los intereses derivados de los títulos de que se trate, no se circunscribe exclusivamente a los intereses pagados a personas relacionadas que deriven de títulos de crédito, sino que también resulta aplicable a los percibidos de certificados, aceptaciones, préstamos u otros créditos, a cargo de sociedades financieras de objeto múltiple que para efectos de la Ley del ISR formen parte del sistema financiero, entre otras entidades, dado que no existe una distinción objetiva en el artículo 166, décimo primer párrafo de la Ley del ISR para otorgar un tratamiento distinto a dichos supuestos</w:t>
      </w:r>
      <w:r w:rsidRPr="00AB7CA1">
        <w:t>.</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3DA422B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74216F0" w14:textId="77777777" w:rsidR="0098530D" w:rsidRPr="00AB7CA1" w:rsidRDefault="0098530D" w:rsidP="00552502">
            <w:pPr>
              <w:pStyle w:val="Texto"/>
              <w:spacing w:line="224"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D76B255" w14:textId="77777777" w:rsidR="0098530D" w:rsidRPr="00AB7CA1" w:rsidRDefault="0098530D" w:rsidP="00552502">
            <w:pPr>
              <w:pStyle w:val="Texto"/>
              <w:spacing w:line="224" w:lineRule="exact"/>
              <w:ind w:firstLine="0"/>
              <w:jc w:val="center"/>
              <w:rPr>
                <w:b/>
              </w:rPr>
            </w:pPr>
            <w:r w:rsidRPr="00AB7CA1">
              <w:rPr>
                <w:b/>
              </w:rPr>
              <w:t>Primer antecedente</w:t>
            </w:r>
          </w:p>
        </w:tc>
      </w:tr>
      <w:tr w:rsidR="0098530D" w:rsidRPr="00AB7CA1" w14:paraId="2D5CEE17"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5CD5D83F" w14:textId="77777777" w:rsidR="0098530D" w:rsidRPr="00AB7CA1" w:rsidRDefault="0098530D" w:rsidP="00552502">
            <w:pPr>
              <w:pStyle w:val="Texto"/>
              <w:spacing w:line="224" w:lineRule="exact"/>
              <w:ind w:firstLine="0"/>
            </w:pPr>
            <w:r w:rsidRPr="00AB7CA1">
              <w:t>Primera Resolución de Modificaciones a la RMF para 2017</w:t>
            </w:r>
          </w:p>
        </w:tc>
        <w:tc>
          <w:tcPr>
            <w:tcW w:w="3237" w:type="pct"/>
            <w:tcBorders>
              <w:top w:val="single" w:sz="6" w:space="0" w:color="auto"/>
              <w:left w:val="single" w:sz="6" w:space="0" w:color="auto"/>
              <w:bottom w:val="single" w:sz="6" w:space="0" w:color="auto"/>
              <w:right w:val="single" w:sz="6" w:space="0" w:color="auto"/>
            </w:tcBorders>
          </w:tcPr>
          <w:p w14:paraId="12D5C115" w14:textId="77777777" w:rsidR="0098530D" w:rsidRPr="00AB7CA1" w:rsidRDefault="0098530D" w:rsidP="00552502">
            <w:pPr>
              <w:pStyle w:val="Texto"/>
              <w:spacing w:line="224" w:lineRule="exact"/>
              <w:ind w:firstLine="0"/>
            </w:pPr>
            <w:r w:rsidRPr="00AB7CA1">
              <w:t>Publicada en el DOF el 15 de mayo de 2017, Anexo 7, publicado en el DOF el 16 de mayo de 2017.</w:t>
            </w:r>
          </w:p>
        </w:tc>
      </w:tr>
      <w:tr w:rsidR="0098530D" w:rsidRPr="00AB7CA1" w14:paraId="233A74C6"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6126A951" w14:textId="77777777" w:rsidR="0098530D" w:rsidRPr="00AB7CA1" w:rsidRDefault="0098530D" w:rsidP="00552502">
            <w:pPr>
              <w:pStyle w:val="Texto"/>
              <w:spacing w:line="224" w:lineRule="exact"/>
              <w:ind w:firstLine="0"/>
              <w:jc w:val="center"/>
            </w:pPr>
            <w:r w:rsidRPr="00AB7CA1">
              <w:rPr>
                <w:b/>
              </w:rPr>
              <w:t>Derogación</w:t>
            </w:r>
          </w:p>
        </w:tc>
      </w:tr>
      <w:tr w:rsidR="0098530D" w:rsidRPr="00AB7CA1" w14:paraId="7FC3A902"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49E9C6F" w14:textId="77777777" w:rsidR="0098530D" w:rsidRPr="00AB7CA1" w:rsidRDefault="0098530D" w:rsidP="00552502">
            <w:pPr>
              <w:pStyle w:val="Texto"/>
              <w:spacing w:line="224" w:lineRule="exact"/>
              <w:ind w:firstLine="0"/>
            </w:pPr>
            <w:r w:rsidRPr="00AB7CA1">
              <w:t>Tercera Resolución de Modificaciones a la RMF para 2022.</w:t>
            </w:r>
          </w:p>
        </w:tc>
        <w:tc>
          <w:tcPr>
            <w:tcW w:w="3237" w:type="pct"/>
            <w:tcBorders>
              <w:top w:val="single" w:sz="6" w:space="0" w:color="auto"/>
              <w:left w:val="single" w:sz="6" w:space="0" w:color="auto"/>
              <w:bottom w:val="single" w:sz="6" w:space="0" w:color="auto"/>
              <w:right w:val="single" w:sz="6" w:space="0" w:color="auto"/>
            </w:tcBorders>
          </w:tcPr>
          <w:p w14:paraId="23E41343" w14:textId="77777777" w:rsidR="0098530D" w:rsidRPr="00AB7CA1" w:rsidRDefault="0098530D" w:rsidP="00552502">
            <w:pPr>
              <w:pStyle w:val="Texto"/>
              <w:spacing w:line="224" w:lineRule="exact"/>
              <w:ind w:firstLine="0"/>
            </w:pPr>
            <w:r w:rsidRPr="00AB7CA1">
              <w:t>Publicada en el DOF el 29 de abril de 2022. El Anexo 7 publicado en DOF el 06 de mayo de 2022.</w:t>
            </w:r>
          </w:p>
        </w:tc>
      </w:tr>
      <w:tr w:rsidR="0098530D" w:rsidRPr="00AB7CA1" w14:paraId="43756C00"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1037B05C" w14:textId="77777777" w:rsidR="0098530D" w:rsidRPr="00AB7CA1" w:rsidRDefault="0098530D" w:rsidP="00552502">
            <w:pPr>
              <w:pStyle w:val="Texto"/>
              <w:spacing w:line="224" w:lineRule="exact"/>
              <w:ind w:firstLine="0"/>
              <w:jc w:val="center"/>
              <w:rPr>
                <w:b/>
              </w:rPr>
            </w:pPr>
            <w:r w:rsidRPr="00AB7CA1">
              <w:rPr>
                <w:b/>
              </w:rPr>
              <w:t>Motivo de la derogación</w:t>
            </w:r>
          </w:p>
        </w:tc>
      </w:tr>
      <w:tr w:rsidR="0098530D" w:rsidRPr="00AB7CA1" w14:paraId="10B9E4C6"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0ABD06C8" w14:textId="77777777" w:rsidR="0098530D" w:rsidRPr="00AB7CA1" w:rsidRDefault="0098530D" w:rsidP="00552502">
            <w:pPr>
              <w:pStyle w:val="Texto"/>
              <w:spacing w:line="224" w:lineRule="exact"/>
              <w:ind w:firstLine="0"/>
            </w:pPr>
            <w:r w:rsidRPr="00AB7CA1">
              <w:t>Se deroga derivado de la reforma del artículo 77, tercer párrafo de la Ley del ISR, publicada en el DOF el 12 de noviembre de 2021.</w:t>
            </w:r>
          </w:p>
        </w:tc>
      </w:tr>
    </w:tbl>
    <w:p w14:paraId="468A49A9" w14:textId="77777777" w:rsidR="0098530D" w:rsidRPr="00AB7CA1" w:rsidRDefault="0098530D" w:rsidP="0098530D">
      <w:pPr>
        <w:pStyle w:val="Texto"/>
        <w:spacing w:line="224" w:lineRule="exact"/>
        <w:ind w:left="2736" w:hanging="1152"/>
        <w:rPr>
          <w:strike/>
        </w:rPr>
      </w:pPr>
    </w:p>
    <w:p w14:paraId="4238A80B" w14:textId="77777777" w:rsidR="0098530D" w:rsidRDefault="0098530D" w:rsidP="0098530D">
      <w:pPr>
        <w:pStyle w:val="Texto"/>
        <w:spacing w:line="224" w:lineRule="exact"/>
        <w:ind w:left="1584" w:hanging="720"/>
        <w:rPr>
          <w:b/>
        </w:rPr>
      </w:pPr>
      <w:r w:rsidRPr="00AB7CA1">
        <w:rPr>
          <w:b/>
        </w:rPr>
        <w:t>III.</w:t>
      </w:r>
      <w:r w:rsidRPr="00AB7CA1">
        <w:rPr>
          <w:b/>
        </w:rPr>
        <w:tab/>
        <w:t>Criterios de la Ley del IVA</w:t>
      </w:r>
    </w:p>
    <w:p w14:paraId="12938B0F" w14:textId="77777777" w:rsidR="0098530D" w:rsidRDefault="0098530D" w:rsidP="0098530D">
      <w:pPr>
        <w:pStyle w:val="Texto"/>
        <w:spacing w:line="224" w:lineRule="exact"/>
        <w:ind w:left="2736" w:hanging="1152"/>
        <w:rPr>
          <w:b/>
        </w:rPr>
      </w:pPr>
      <w:r w:rsidRPr="00AB7CA1">
        <w:rPr>
          <w:b/>
        </w:rPr>
        <w:t>3/IVA/N</w:t>
      </w:r>
      <w:r w:rsidRPr="00AB7CA1">
        <w:rPr>
          <w:b/>
        </w:rPr>
        <w:tab/>
        <w:t>Traslado de impuesto a una tasa incorrecta.</w:t>
      </w:r>
    </w:p>
    <w:p w14:paraId="414A88DA" w14:textId="77777777" w:rsidR="0098530D" w:rsidRPr="00AB7CA1" w:rsidRDefault="0098530D" w:rsidP="0098530D">
      <w:pPr>
        <w:pStyle w:val="Texto"/>
        <w:spacing w:line="224" w:lineRule="exact"/>
        <w:ind w:left="2736" w:hanging="1152"/>
      </w:pPr>
      <w:r w:rsidRPr="00AB7CA1">
        <w:rPr>
          <w:b/>
        </w:rPr>
        <w:lastRenderedPageBreak/>
        <w:tab/>
      </w:r>
      <w:r w:rsidRPr="00AB7CA1">
        <w:t>El artículo 1o. de la Ley del IVA establece la obligación de pago del IVA a las personas físicas y morales que en territorio nacional enajenen bienes, presten servicios independientes, otorguen el uso o goce temporal de bienes o importen bienes o servicios; para tal efecto, por realizar los actos o actividades descritos deberán aplicar la tasa del 16%.</w:t>
      </w:r>
    </w:p>
    <w:p w14:paraId="6370FB32" w14:textId="77777777" w:rsidR="0098530D" w:rsidRPr="00AB7CA1" w:rsidRDefault="0098530D" w:rsidP="0098530D">
      <w:pPr>
        <w:pStyle w:val="Texto"/>
        <w:spacing w:line="224" w:lineRule="exact"/>
        <w:ind w:left="2736" w:hanging="1152"/>
      </w:pPr>
      <w:r w:rsidRPr="00AB7CA1">
        <w:tab/>
        <w:t>El artículo 2o.-A de la Ley del IVA señala los actos y actividades a los que les corresponde aplicar la tasa del 0%; asimismo, los artículos 9o., 15, 20 y 25 de la misma Ley, establecen los supuestos por los que no se pagará el impuesto, considerándose como actos o actividades exentas.</w:t>
      </w:r>
    </w:p>
    <w:p w14:paraId="00618B81" w14:textId="77777777" w:rsidR="0098530D" w:rsidRPr="00AB7CA1" w:rsidRDefault="0098530D" w:rsidP="0098530D">
      <w:pPr>
        <w:pStyle w:val="Texto"/>
        <w:spacing w:line="224" w:lineRule="exact"/>
        <w:ind w:left="2736" w:hanging="1152"/>
      </w:pPr>
      <w:r w:rsidRPr="00AB7CA1">
        <w:tab/>
        <w:t>El artículo 4o. de la Ley del IVA señala que el acreditamiento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14:paraId="39317B47" w14:textId="77777777" w:rsidR="0098530D" w:rsidRPr="00AB7CA1" w:rsidRDefault="0098530D" w:rsidP="0098530D">
      <w:pPr>
        <w:pStyle w:val="Texto"/>
        <w:spacing w:line="224" w:lineRule="exact"/>
        <w:ind w:left="2736" w:hanging="1152"/>
      </w:pPr>
      <w:r w:rsidRPr="00AB7CA1">
        <w:tab/>
        <w:t>Al efecto, existen contribuyentes que han aplicado equivocadamente tasas diferentes a las que legalmente corresponde respecto de operaciones con personas que por los actos o actividades que realizan les deben trasladar el impuesto a la tasa del 0% o no trasladar impuesto al tratarse de actos o actividades exentas; en este sentido, se entiende que la cantidad que se cobró en exceso no constituye propiamente IVA al no haberse causado a la tasa correcta, por lo que al tratarse de un traslado indebido, la cantidad trasladada no puede ser considerada como IVA y por consecuencia no puede repercutir para efectos del acreditamiento.</w:t>
      </w:r>
    </w:p>
    <w:p w14:paraId="3A531B1A" w14:textId="77777777" w:rsidR="0098530D" w:rsidRPr="00AB7CA1" w:rsidRDefault="0098530D" w:rsidP="0098530D">
      <w:pPr>
        <w:pStyle w:val="Texto"/>
        <w:spacing w:line="224" w:lineRule="exact"/>
        <w:ind w:left="2736" w:hanging="1152"/>
      </w:pPr>
      <w:r w:rsidRPr="00AB7CA1">
        <w:tab/>
        <w:t>Por lo tanto, el contribuyente que trasladó y cobró indebidamente un monto que no puede considerarse IVA deberá acumularlo para fines del ISR y el contribuyente que pagó esa cantidad a quien se la trasladó, deberá considerarla como un gasto y no como impuesto acreditable.</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73FC654"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143812D" w14:textId="77777777" w:rsidR="0098530D" w:rsidRPr="00AB7CA1" w:rsidRDefault="0098530D" w:rsidP="00552502">
            <w:pPr>
              <w:pStyle w:val="Texto"/>
              <w:spacing w:line="224"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5BF4ED3" w14:textId="77777777" w:rsidR="0098530D" w:rsidRPr="00AB7CA1" w:rsidRDefault="0098530D" w:rsidP="00552502">
            <w:pPr>
              <w:pStyle w:val="Texto"/>
              <w:spacing w:line="224" w:lineRule="exact"/>
              <w:ind w:firstLine="0"/>
              <w:jc w:val="center"/>
              <w:rPr>
                <w:b/>
              </w:rPr>
            </w:pPr>
            <w:r w:rsidRPr="00AB7CA1">
              <w:rPr>
                <w:b/>
              </w:rPr>
              <w:t>Primer antecedente</w:t>
            </w:r>
          </w:p>
        </w:tc>
      </w:tr>
      <w:tr w:rsidR="0098530D" w:rsidRPr="00AB7CA1" w14:paraId="061A8DF7"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34A8378B" w14:textId="77777777" w:rsidR="0098530D" w:rsidRPr="00AB7CA1" w:rsidRDefault="0098530D" w:rsidP="00552502">
            <w:pPr>
              <w:pStyle w:val="Texto"/>
              <w:spacing w:line="224" w:lineRule="exact"/>
              <w:ind w:firstLine="0"/>
            </w:pPr>
            <w:r w:rsidRPr="00AB7CA1">
              <w:t>2014</w:t>
            </w:r>
          </w:p>
        </w:tc>
        <w:tc>
          <w:tcPr>
            <w:tcW w:w="3237" w:type="pct"/>
            <w:tcBorders>
              <w:top w:val="single" w:sz="6" w:space="0" w:color="auto"/>
              <w:left w:val="single" w:sz="6" w:space="0" w:color="auto"/>
              <w:bottom w:val="single" w:sz="6" w:space="0" w:color="auto"/>
              <w:right w:val="single" w:sz="6" w:space="0" w:color="auto"/>
            </w:tcBorders>
          </w:tcPr>
          <w:p w14:paraId="34679DB9" w14:textId="77777777" w:rsidR="0098530D" w:rsidRPr="00AB7CA1" w:rsidRDefault="0098530D" w:rsidP="00552502">
            <w:pPr>
              <w:pStyle w:val="Texto"/>
              <w:spacing w:line="224" w:lineRule="exact"/>
              <w:ind w:firstLine="0"/>
            </w:pPr>
            <w:r w:rsidRPr="00AB7CA1">
              <w:t>Oficio 600-04-07-2014-6142 de 14 de agosto de 2014, mediante el cual se dan a conocer de manera anticipada los nuevos criterios normativos aprobados en el tercer trimestre 2014. Oficio 600-04-07-2014-87371 de 17 de diciembre de 2014 a través del cual se da a conocer el Boletín 2014, con el número de criterio normativo 3/2014/IVA.</w:t>
            </w:r>
          </w:p>
        </w:tc>
      </w:tr>
      <w:tr w:rsidR="0098530D" w:rsidRPr="00AB7CA1" w14:paraId="732C2AD9"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43C4E258" w14:textId="77777777" w:rsidR="0098530D" w:rsidRPr="00AB7CA1" w:rsidRDefault="0098530D" w:rsidP="00552502">
            <w:pPr>
              <w:pStyle w:val="Texto"/>
              <w:spacing w:line="224" w:lineRule="exact"/>
              <w:ind w:firstLine="0"/>
              <w:jc w:val="center"/>
            </w:pPr>
            <w:r w:rsidRPr="00AB7CA1">
              <w:rPr>
                <w:b/>
              </w:rPr>
              <w:t>Derogación</w:t>
            </w:r>
          </w:p>
        </w:tc>
      </w:tr>
      <w:tr w:rsidR="0098530D" w:rsidRPr="00AB7CA1" w14:paraId="7FA619B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074C1B8" w14:textId="77777777" w:rsidR="0098530D" w:rsidRPr="00AB7CA1" w:rsidRDefault="0098530D" w:rsidP="00552502">
            <w:pPr>
              <w:pStyle w:val="Texto"/>
              <w:spacing w:line="224" w:lineRule="exact"/>
              <w:ind w:firstLine="0"/>
            </w:pPr>
            <w:r w:rsidRPr="00AB7CA1">
              <w:t>Quinta Resolución de Modificaciones a la RMF para 2015</w:t>
            </w:r>
          </w:p>
        </w:tc>
        <w:tc>
          <w:tcPr>
            <w:tcW w:w="3237" w:type="pct"/>
            <w:tcBorders>
              <w:top w:val="single" w:sz="6" w:space="0" w:color="auto"/>
              <w:left w:val="single" w:sz="6" w:space="0" w:color="auto"/>
              <w:bottom w:val="single" w:sz="6" w:space="0" w:color="auto"/>
              <w:right w:val="single" w:sz="6" w:space="0" w:color="auto"/>
            </w:tcBorders>
          </w:tcPr>
          <w:p w14:paraId="1A385F20" w14:textId="77777777" w:rsidR="0098530D" w:rsidRPr="00AB7CA1" w:rsidRDefault="0098530D" w:rsidP="00552502">
            <w:pPr>
              <w:pStyle w:val="Texto"/>
              <w:spacing w:line="224" w:lineRule="exact"/>
              <w:ind w:firstLine="0"/>
            </w:pPr>
            <w:r w:rsidRPr="00AB7CA1">
              <w:t xml:space="preserve">Publicada en el DOF el 19 de noviembre de 2015. El Anexo 7 publicado en DOF el 20 de noviembre de 2015. </w:t>
            </w:r>
          </w:p>
        </w:tc>
      </w:tr>
      <w:tr w:rsidR="0098530D" w:rsidRPr="00AB7CA1" w14:paraId="647CED1B"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2234F3E2" w14:textId="77777777" w:rsidR="0098530D" w:rsidRPr="00AB7CA1" w:rsidRDefault="0098530D" w:rsidP="00552502">
            <w:pPr>
              <w:pStyle w:val="Texto"/>
              <w:spacing w:line="224" w:lineRule="exact"/>
              <w:ind w:firstLine="0"/>
              <w:jc w:val="center"/>
              <w:rPr>
                <w:b/>
              </w:rPr>
            </w:pPr>
            <w:r w:rsidRPr="00AB7CA1">
              <w:rPr>
                <w:b/>
              </w:rPr>
              <w:t>Motivo de la derogación</w:t>
            </w:r>
          </w:p>
        </w:tc>
      </w:tr>
      <w:tr w:rsidR="0098530D" w:rsidRPr="00AB7CA1" w14:paraId="6989331E"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27A11401" w14:textId="77777777" w:rsidR="0098530D" w:rsidRPr="00AB7CA1" w:rsidRDefault="0098530D" w:rsidP="00552502">
            <w:pPr>
              <w:pStyle w:val="Texto"/>
              <w:spacing w:line="224" w:lineRule="exact"/>
              <w:ind w:firstLine="0"/>
            </w:pPr>
            <w:r w:rsidRPr="00AB7CA1">
              <w:t>La adición del criterio no vinculativo 9/IVA/NV en el Anexo 3 de la Quinta Resolución de Modificaciones a la RMF para 2015, publicada en el DOF el 20 de noviembre de 2015.</w:t>
            </w:r>
          </w:p>
        </w:tc>
      </w:tr>
    </w:tbl>
    <w:p w14:paraId="4F7AEE0C" w14:textId="77777777" w:rsidR="0098530D" w:rsidRPr="00AB7CA1" w:rsidRDefault="0098530D" w:rsidP="0098530D">
      <w:pPr>
        <w:pStyle w:val="Texto"/>
        <w:spacing w:line="225" w:lineRule="exact"/>
        <w:ind w:left="2736" w:hanging="1152"/>
        <w:rPr>
          <w:b/>
        </w:rPr>
      </w:pPr>
    </w:p>
    <w:p w14:paraId="3A0B2EA2" w14:textId="77777777" w:rsidR="0098530D" w:rsidRDefault="0098530D" w:rsidP="0098530D">
      <w:pPr>
        <w:pStyle w:val="Texto"/>
        <w:spacing w:line="225" w:lineRule="exact"/>
        <w:ind w:left="2736" w:hanging="1152"/>
        <w:rPr>
          <w:b/>
          <w:lang w:val="es-ES_tradnl"/>
        </w:rPr>
      </w:pPr>
      <w:r w:rsidRPr="00AB7CA1">
        <w:rPr>
          <w:b/>
        </w:rPr>
        <w:t>25/IVA/N</w:t>
      </w:r>
      <w:r w:rsidRPr="00AB7CA1">
        <w:rPr>
          <w:b/>
        </w:rPr>
        <w:tab/>
      </w:r>
      <w:r w:rsidRPr="00AB7CA1">
        <w:rPr>
          <w:b/>
          <w:lang w:val="es-ES_tradnl"/>
        </w:rPr>
        <w:t>Compensación del IVA. Casos en que procede.</w:t>
      </w:r>
    </w:p>
    <w:p w14:paraId="5A08C262" w14:textId="77777777" w:rsidR="0098530D" w:rsidRPr="00AB7CA1" w:rsidRDefault="0098530D" w:rsidP="0098530D">
      <w:pPr>
        <w:pStyle w:val="Texto"/>
        <w:spacing w:line="225" w:lineRule="exact"/>
        <w:ind w:left="2736" w:hanging="1152"/>
        <w:rPr>
          <w:lang w:val="es-ES_tradnl"/>
        </w:rPr>
      </w:pPr>
      <w:r w:rsidRPr="00AB7CA1">
        <w:rPr>
          <w:b/>
          <w:lang w:val="es-ES_tradnl"/>
        </w:rPr>
        <w:tab/>
      </w:r>
      <w:r w:rsidRPr="00AB7CA1">
        <w:rPr>
          <w:lang w:val="es-ES_tradnl"/>
        </w:rPr>
        <w:t xml:space="preserve">El artículo 6o. de la Ley del IVA dispone que cuando resulte saldo a favor, el contribuyente podrá acreditarlo contra el impuesto a cargo que le corresponda en los meses siguientes hasta agotarlo, solicitar su devolución </w:t>
      </w:r>
      <w:r w:rsidRPr="00AB7CA1">
        <w:rPr>
          <w:lang w:val="es-ES_tradnl"/>
        </w:rPr>
        <w:lastRenderedPageBreak/>
        <w:t>o llevar a cabo su compensación contra otros impuestos en términos de lo que dispone el artículo 23 del CFF.</w:t>
      </w:r>
    </w:p>
    <w:p w14:paraId="1D161906" w14:textId="77777777" w:rsidR="0098530D" w:rsidRPr="00AB7CA1" w:rsidRDefault="0098530D" w:rsidP="0098530D">
      <w:pPr>
        <w:pStyle w:val="Texto"/>
        <w:spacing w:line="225" w:lineRule="exact"/>
        <w:ind w:left="2736" w:hanging="1152"/>
        <w:rPr>
          <w:lang w:val="es-ES_tradnl"/>
        </w:rPr>
      </w:pPr>
      <w:r w:rsidRPr="00AB7CA1">
        <w:rPr>
          <w:lang w:val="es-ES_tradnl"/>
        </w:rPr>
        <w:tab/>
        <w:t>En ese sentido, de conformidad con los fundamentos citados, el saldo a favor del IVA de un mes posterior podrá compensarse contra el adeudo a cargo del contribuyente por el mismo impuesto correspondiente a meses anteriores, con su respectiva actualización y recargos.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7248CF47"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73CAB279" w14:textId="77777777" w:rsidR="0098530D" w:rsidRPr="00AB7CA1" w:rsidRDefault="0098530D" w:rsidP="00552502">
            <w:pPr>
              <w:pStyle w:val="Texto"/>
              <w:spacing w:line="225"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422DCE1C" w14:textId="77777777" w:rsidR="0098530D" w:rsidRPr="00AB7CA1" w:rsidRDefault="0098530D" w:rsidP="00552502">
            <w:pPr>
              <w:pStyle w:val="Texto"/>
              <w:spacing w:line="225" w:lineRule="exact"/>
              <w:ind w:firstLine="0"/>
              <w:jc w:val="center"/>
              <w:rPr>
                <w:b/>
              </w:rPr>
            </w:pPr>
            <w:r w:rsidRPr="00AB7CA1">
              <w:rPr>
                <w:b/>
              </w:rPr>
              <w:t>Primer antecedente</w:t>
            </w:r>
          </w:p>
        </w:tc>
      </w:tr>
      <w:tr w:rsidR="0098530D" w:rsidRPr="00AB7CA1" w14:paraId="361EAB0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E44BF17" w14:textId="77777777" w:rsidR="0098530D" w:rsidRPr="00AB7CA1" w:rsidRDefault="0098530D" w:rsidP="00552502">
            <w:pPr>
              <w:pStyle w:val="Texto"/>
              <w:spacing w:line="225" w:lineRule="exact"/>
              <w:ind w:firstLine="0"/>
            </w:pPr>
            <w:r w:rsidRPr="00AB7CA1">
              <w:t>5.1.5.</w:t>
            </w:r>
          </w:p>
        </w:tc>
        <w:tc>
          <w:tcPr>
            <w:tcW w:w="3237" w:type="pct"/>
            <w:tcBorders>
              <w:top w:val="single" w:sz="6" w:space="0" w:color="auto"/>
              <w:left w:val="single" w:sz="6" w:space="0" w:color="auto"/>
              <w:bottom w:val="single" w:sz="6" w:space="0" w:color="auto"/>
              <w:right w:val="single" w:sz="6" w:space="0" w:color="auto"/>
            </w:tcBorders>
          </w:tcPr>
          <w:p w14:paraId="5E63CF90" w14:textId="77777777" w:rsidR="0098530D" w:rsidRPr="00AB7CA1" w:rsidRDefault="0098530D" w:rsidP="00552502">
            <w:pPr>
              <w:pStyle w:val="Texto"/>
              <w:spacing w:line="225" w:lineRule="exact"/>
              <w:ind w:firstLine="0"/>
            </w:pPr>
            <w:r w:rsidRPr="00AB7CA1">
              <w:t>Oficio 325-A-VII-19856 de 25 de septiembre de 1995.</w:t>
            </w:r>
          </w:p>
        </w:tc>
      </w:tr>
      <w:tr w:rsidR="0098530D" w:rsidRPr="00AB7CA1" w14:paraId="4C427910"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519495C5" w14:textId="77777777" w:rsidR="0098530D" w:rsidRPr="00AB7CA1" w:rsidRDefault="0098530D" w:rsidP="00552502">
            <w:pPr>
              <w:pStyle w:val="Texto"/>
              <w:spacing w:line="225" w:lineRule="exact"/>
              <w:ind w:firstLine="0"/>
              <w:jc w:val="center"/>
            </w:pPr>
            <w:r w:rsidRPr="00AB7CA1">
              <w:rPr>
                <w:b/>
              </w:rPr>
              <w:t>Derogación</w:t>
            </w:r>
          </w:p>
        </w:tc>
      </w:tr>
      <w:tr w:rsidR="0098530D" w:rsidRPr="00AB7CA1" w14:paraId="3A4C49C3"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2D2B3421" w14:textId="77777777" w:rsidR="0098530D" w:rsidRPr="00AB7CA1" w:rsidRDefault="0098530D" w:rsidP="00552502">
            <w:pPr>
              <w:pStyle w:val="Texto"/>
              <w:spacing w:line="225" w:lineRule="exact"/>
              <w:ind w:firstLine="0"/>
            </w:pPr>
            <w:r w:rsidRPr="00AB7CA1">
              <w:t>RMF para 2019.</w:t>
            </w:r>
          </w:p>
        </w:tc>
        <w:tc>
          <w:tcPr>
            <w:tcW w:w="3237" w:type="pct"/>
            <w:tcBorders>
              <w:top w:val="single" w:sz="6" w:space="0" w:color="auto"/>
              <w:left w:val="single" w:sz="6" w:space="0" w:color="auto"/>
              <w:bottom w:val="single" w:sz="6" w:space="0" w:color="auto"/>
              <w:right w:val="single" w:sz="6" w:space="0" w:color="auto"/>
            </w:tcBorders>
          </w:tcPr>
          <w:p w14:paraId="6D7B9D3E" w14:textId="77777777" w:rsidR="0098530D" w:rsidRPr="00AB7CA1" w:rsidRDefault="0098530D" w:rsidP="00552502">
            <w:pPr>
              <w:pStyle w:val="Texto"/>
              <w:spacing w:line="225" w:lineRule="exact"/>
              <w:ind w:firstLine="0"/>
            </w:pPr>
            <w:r w:rsidRPr="00AB7CA1">
              <w:t>Publicada en el DOF el 29 de abril de 2019. El Anexo 7 publicado en DOF el 30 de abril de 2019.</w:t>
            </w:r>
          </w:p>
        </w:tc>
      </w:tr>
      <w:tr w:rsidR="0098530D" w:rsidRPr="00AB7CA1" w14:paraId="44C95832"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1BB68998" w14:textId="77777777" w:rsidR="0098530D" w:rsidRPr="00AB7CA1" w:rsidRDefault="0098530D" w:rsidP="00552502">
            <w:pPr>
              <w:pStyle w:val="Texto"/>
              <w:spacing w:line="225" w:lineRule="exact"/>
              <w:ind w:firstLine="0"/>
              <w:jc w:val="center"/>
            </w:pPr>
            <w:r w:rsidRPr="00AB7CA1">
              <w:rPr>
                <w:b/>
              </w:rPr>
              <w:t>Motivo de la derogación</w:t>
            </w:r>
          </w:p>
        </w:tc>
      </w:tr>
      <w:tr w:rsidR="0098530D" w:rsidRPr="00AB7CA1" w14:paraId="479D3BE1"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7B49570B" w14:textId="77777777" w:rsidR="0098530D" w:rsidRPr="00AB7CA1" w:rsidRDefault="0098530D" w:rsidP="00552502">
            <w:pPr>
              <w:pStyle w:val="Texto"/>
              <w:spacing w:line="225" w:lineRule="exact"/>
              <w:ind w:firstLine="0"/>
            </w:pPr>
            <w:r w:rsidRPr="00AB7CA1">
              <w:t>Se deroga en virtud de que han cambiado las condiciones jurídicas y de hecho, para el que fue creado, ya que actualmente el artículo 23 del CFF únicamente permite la compensación contra del mismo impuesto.</w:t>
            </w:r>
          </w:p>
        </w:tc>
      </w:tr>
    </w:tbl>
    <w:p w14:paraId="760EFC61" w14:textId="77777777" w:rsidR="0098530D" w:rsidRPr="00AB7CA1" w:rsidRDefault="0098530D" w:rsidP="0098530D">
      <w:pPr>
        <w:pStyle w:val="Texto"/>
        <w:spacing w:line="225" w:lineRule="exact"/>
        <w:ind w:left="2736" w:hanging="1152"/>
        <w:rPr>
          <w:strike/>
        </w:rPr>
      </w:pPr>
    </w:p>
    <w:p w14:paraId="37F506AE" w14:textId="77777777" w:rsidR="0098530D" w:rsidRPr="00AB7CA1" w:rsidRDefault="0098530D" w:rsidP="0098530D">
      <w:pPr>
        <w:pStyle w:val="Texto"/>
        <w:spacing w:line="225" w:lineRule="exact"/>
        <w:ind w:left="2736" w:hanging="1152"/>
        <w:rPr>
          <w:b/>
          <w:lang w:val="es-ES_tradnl"/>
        </w:rPr>
      </w:pPr>
      <w:r w:rsidRPr="00AB7CA1">
        <w:rPr>
          <w:b/>
        </w:rPr>
        <w:t>30/IVA/N</w:t>
      </w:r>
      <w:r w:rsidRPr="00AB7CA1">
        <w:rPr>
          <w:b/>
        </w:rPr>
        <w:tab/>
      </w:r>
      <w:r w:rsidRPr="00AB7CA1">
        <w:rPr>
          <w:b/>
          <w:lang w:val="es-ES_tradnl"/>
        </w:rPr>
        <w:t>Comisiones de agentes de seguros. No se ubican en el supuesto de exención del IVA las contraprestaciones a personas morales que no tengan el carácter de agentes de seguros.</w:t>
      </w:r>
    </w:p>
    <w:p w14:paraId="4E0E1B59" w14:textId="77777777" w:rsidR="0098530D" w:rsidRPr="00AB7CA1" w:rsidRDefault="0098530D" w:rsidP="0098530D">
      <w:pPr>
        <w:pStyle w:val="Texto"/>
        <w:spacing w:line="225" w:lineRule="exact"/>
        <w:ind w:left="2736" w:hanging="1152"/>
        <w:rPr>
          <w:lang w:val="es-ES_tradnl"/>
        </w:rPr>
      </w:pPr>
      <w:r w:rsidRPr="00AB7CA1">
        <w:rPr>
          <w:b/>
          <w:lang w:val="es-ES_tradnl"/>
        </w:rPr>
        <w:tab/>
      </w:r>
      <w:r w:rsidRPr="00AB7CA1">
        <w:rPr>
          <w:lang w:val="es-ES_tradnl"/>
        </w:rPr>
        <w:t>El artículo 15, fracción IX de la Ley del IVA dispone que no se pagará el impuesto correspondiente por las comisiones de agentes que correspondan a los seguros citados en dicha fracción.</w:t>
      </w:r>
    </w:p>
    <w:p w14:paraId="0E3C12E1" w14:textId="77777777" w:rsidR="0098530D" w:rsidRPr="00AB7CA1" w:rsidRDefault="0098530D" w:rsidP="0098530D">
      <w:pPr>
        <w:pStyle w:val="Texto"/>
        <w:spacing w:after="80" w:line="213" w:lineRule="exact"/>
        <w:ind w:left="2736" w:hanging="1152"/>
        <w:rPr>
          <w:lang w:val="es-ES_tradnl"/>
        </w:rPr>
      </w:pPr>
      <w:r w:rsidRPr="00AB7CA1">
        <w:rPr>
          <w:lang w:val="es-ES_tradnl"/>
        </w:rPr>
        <w:tab/>
      </w:r>
      <w:r w:rsidRPr="00AB7CA1">
        <w:t>El artículo 5o., segundo párrafo del CFF permite aplicar supletoriamente las disposiciones del derecho federal común; en ese sentido, a falta de norma fiscal que establezca su definición, la expresión agentes de seguros referida en el párrafo anterior puede ser interpretada de conformidad con la Ley de Instituciones de Seguros y de Fianzas.</w:t>
      </w:r>
    </w:p>
    <w:p w14:paraId="31AD0AA5" w14:textId="77777777" w:rsidR="0098530D" w:rsidRPr="00AB7CA1" w:rsidRDefault="0098530D" w:rsidP="0098530D">
      <w:pPr>
        <w:pStyle w:val="Texto"/>
        <w:spacing w:after="80" w:line="213" w:lineRule="exact"/>
        <w:ind w:left="2736" w:hanging="1152"/>
        <w:rPr>
          <w:lang w:val="es-ES_tradnl"/>
        </w:rPr>
      </w:pPr>
      <w:r w:rsidRPr="00AB7CA1">
        <w:rPr>
          <w:lang w:val="es-ES_tradnl"/>
        </w:rPr>
        <w:tab/>
        <w:t>El artículo 91, primer párrafo de dicha ley señala que se consideran agentes de seguros las personas físicas o morales que intervengan en la contratación de seguros mediante el intercambio de propuestas y aceptación de las mismas, comercialización y en el asesoramiento para celebrarlos, para conservarlos o modificarlos, según la mejor conveniencia de los contratantes.</w:t>
      </w:r>
    </w:p>
    <w:p w14:paraId="567E2BAA" w14:textId="77777777" w:rsidR="0098530D" w:rsidRPr="00AB7CA1" w:rsidRDefault="0098530D" w:rsidP="0098530D">
      <w:pPr>
        <w:pStyle w:val="Texto"/>
        <w:spacing w:after="80" w:line="213" w:lineRule="exact"/>
        <w:ind w:left="2736" w:hanging="1152"/>
        <w:rPr>
          <w:lang w:val="es-ES_tradnl"/>
        </w:rPr>
      </w:pPr>
      <w:r w:rsidRPr="00AB7CA1">
        <w:rPr>
          <w:lang w:val="es-ES_tradnl"/>
        </w:rPr>
        <w:tab/>
        <w:t>El segundo párrafo del artículo en comento indica que la intermediación de contratos de seguro, que tengan el carácter de contratos de adhesión, podrá realizarse por los referidos agentes de seguros o a través de las personas morales previstas en el artículo 102 de la ley mencionada.</w:t>
      </w:r>
    </w:p>
    <w:p w14:paraId="415DFCCA" w14:textId="77777777" w:rsidR="0098530D" w:rsidRPr="00AB7CA1" w:rsidRDefault="0098530D" w:rsidP="0098530D">
      <w:pPr>
        <w:pStyle w:val="Texto"/>
        <w:spacing w:after="80" w:line="213" w:lineRule="exact"/>
        <w:ind w:left="2736" w:hanging="1152"/>
        <w:rPr>
          <w:lang w:val="es-ES_tradnl"/>
        </w:rPr>
      </w:pPr>
      <w:r w:rsidRPr="00AB7CA1">
        <w:rPr>
          <w:lang w:val="es-ES_tradnl"/>
        </w:rPr>
        <w:tab/>
        <w:t>De lo señalado, se desprende que la intermediación de contratos de seguro, que tengan el carácter de contratos de adhesión, puede efectuarse a través de una persona moral que no sea agente de seguros, en los términos de la Ley de Instituciones de Seguros y de Fianzas.</w:t>
      </w:r>
    </w:p>
    <w:p w14:paraId="4DB797AA" w14:textId="77777777" w:rsidR="0098530D" w:rsidRDefault="0098530D" w:rsidP="0098530D">
      <w:pPr>
        <w:pStyle w:val="Texto"/>
        <w:spacing w:after="80" w:line="213" w:lineRule="exact"/>
        <w:ind w:left="2736" w:hanging="1152"/>
        <w:rPr>
          <w:lang w:val="es-ES_tradnl"/>
        </w:rPr>
      </w:pPr>
      <w:r w:rsidRPr="00AB7CA1">
        <w:rPr>
          <w:lang w:val="es-ES_tradnl"/>
        </w:rPr>
        <w:tab/>
        <w:t>Por tanto, las contraprestaciones de cualquier persona moral que no tenga el carácter de agente de seguros, en los términos de la Ley de Instituciones de Seguros y de Fianzas, que correspondan a los seguros citados en el artículo 15, fracción IX de la Ley del IVA, no se ubican en el supuesto de exención señalado.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47B556CB"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17423D23" w14:textId="77777777" w:rsidR="0098530D" w:rsidRPr="00AB7CA1" w:rsidRDefault="0098530D" w:rsidP="00552502">
            <w:pPr>
              <w:pStyle w:val="Texto"/>
              <w:spacing w:after="80" w:line="213"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3301C2A" w14:textId="77777777" w:rsidR="0098530D" w:rsidRPr="00AB7CA1" w:rsidRDefault="0098530D" w:rsidP="00552502">
            <w:pPr>
              <w:pStyle w:val="Texto"/>
              <w:spacing w:after="80" w:line="213" w:lineRule="exact"/>
              <w:ind w:firstLine="0"/>
              <w:jc w:val="center"/>
              <w:rPr>
                <w:b/>
              </w:rPr>
            </w:pPr>
            <w:r w:rsidRPr="00AB7CA1">
              <w:rPr>
                <w:b/>
              </w:rPr>
              <w:t>Primer antecedente</w:t>
            </w:r>
          </w:p>
        </w:tc>
      </w:tr>
      <w:tr w:rsidR="0098530D" w:rsidRPr="00AB7CA1" w14:paraId="6256287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2CF73EE" w14:textId="77777777" w:rsidR="0098530D" w:rsidRPr="00AB7CA1" w:rsidRDefault="0098530D" w:rsidP="00552502">
            <w:pPr>
              <w:pStyle w:val="Texto"/>
              <w:spacing w:after="80" w:line="213" w:lineRule="exact"/>
              <w:ind w:firstLine="0"/>
            </w:pPr>
            <w:r w:rsidRPr="00AB7CA1">
              <w:lastRenderedPageBreak/>
              <w:t>2012</w:t>
            </w:r>
          </w:p>
        </w:tc>
        <w:tc>
          <w:tcPr>
            <w:tcW w:w="3237" w:type="pct"/>
            <w:tcBorders>
              <w:top w:val="single" w:sz="6" w:space="0" w:color="auto"/>
              <w:left w:val="single" w:sz="6" w:space="0" w:color="auto"/>
              <w:bottom w:val="single" w:sz="6" w:space="0" w:color="auto"/>
              <w:right w:val="single" w:sz="6" w:space="0" w:color="auto"/>
            </w:tcBorders>
          </w:tcPr>
          <w:p w14:paraId="3B9F1E32" w14:textId="77777777" w:rsidR="0098530D" w:rsidRPr="00AB7CA1" w:rsidRDefault="0098530D" w:rsidP="00552502">
            <w:pPr>
              <w:pStyle w:val="Texto"/>
              <w:spacing w:after="80" w:line="213" w:lineRule="exact"/>
              <w:ind w:firstLine="0"/>
            </w:pPr>
            <w:r w:rsidRPr="00AB7CA1">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125/2012/IVA.</w:t>
            </w:r>
          </w:p>
        </w:tc>
      </w:tr>
      <w:tr w:rsidR="0098530D" w:rsidRPr="00AB7CA1" w14:paraId="5E20420A"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1E5C8327" w14:textId="77777777" w:rsidR="0098530D" w:rsidRPr="00AB7CA1" w:rsidRDefault="0098530D" w:rsidP="00552502">
            <w:pPr>
              <w:pStyle w:val="Texto"/>
              <w:spacing w:after="80" w:line="213" w:lineRule="exact"/>
              <w:ind w:firstLine="0"/>
              <w:jc w:val="center"/>
            </w:pPr>
            <w:r w:rsidRPr="00AB7CA1">
              <w:rPr>
                <w:b/>
              </w:rPr>
              <w:t>Derogación</w:t>
            </w:r>
          </w:p>
        </w:tc>
      </w:tr>
      <w:tr w:rsidR="0098530D" w:rsidRPr="00AB7CA1" w14:paraId="77C515C7"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6924F6E" w14:textId="77777777" w:rsidR="0098530D" w:rsidRPr="00AB7CA1" w:rsidRDefault="0098530D" w:rsidP="00552502">
            <w:pPr>
              <w:pStyle w:val="Texto"/>
              <w:spacing w:after="80" w:line="213" w:lineRule="exact"/>
              <w:ind w:firstLine="0"/>
            </w:pPr>
            <w:r w:rsidRPr="00AB7CA1">
              <w:t>Segunda Resolución de Modificaciones a la RMF 2016</w:t>
            </w:r>
          </w:p>
        </w:tc>
        <w:tc>
          <w:tcPr>
            <w:tcW w:w="3237" w:type="pct"/>
            <w:tcBorders>
              <w:top w:val="single" w:sz="6" w:space="0" w:color="auto"/>
              <w:left w:val="single" w:sz="6" w:space="0" w:color="auto"/>
              <w:bottom w:val="single" w:sz="6" w:space="0" w:color="auto"/>
              <w:right w:val="single" w:sz="6" w:space="0" w:color="auto"/>
            </w:tcBorders>
          </w:tcPr>
          <w:p w14:paraId="05FDE19E" w14:textId="77777777" w:rsidR="0098530D" w:rsidRPr="00AB7CA1" w:rsidRDefault="0098530D" w:rsidP="00552502">
            <w:pPr>
              <w:pStyle w:val="Texto"/>
              <w:spacing w:after="80" w:line="213" w:lineRule="exact"/>
              <w:ind w:firstLine="0"/>
            </w:pPr>
            <w:r w:rsidRPr="00AB7CA1">
              <w:t xml:space="preserve">Publicada en el DOF el 6 de mayo de 2016. El Anexo 7 publicado en DOF el 9 de mayo de 2016. </w:t>
            </w:r>
          </w:p>
        </w:tc>
      </w:tr>
      <w:tr w:rsidR="0098530D" w:rsidRPr="00AB7CA1" w14:paraId="0B12B5B6"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5EE17A03" w14:textId="77777777" w:rsidR="0098530D" w:rsidRPr="00AB7CA1" w:rsidRDefault="0098530D" w:rsidP="00552502">
            <w:pPr>
              <w:pStyle w:val="Texto"/>
              <w:spacing w:after="80" w:line="213" w:lineRule="exact"/>
              <w:ind w:firstLine="0"/>
              <w:jc w:val="center"/>
            </w:pPr>
            <w:r w:rsidRPr="00AB7CA1">
              <w:rPr>
                <w:b/>
              </w:rPr>
              <w:t>Motivo de la derogación</w:t>
            </w:r>
          </w:p>
        </w:tc>
      </w:tr>
      <w:tr w:rsidR="0098530D" w:rsidRPr="00AB7CA1" w14:paraId="73F8CA80"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67D1BAD1" w14:textId="77777777" w:rsidR="0098530D" w:rsidRPr="00AB7CA1" w:rsidRDefault="0098530D" w:rsidP="00552502">
            <w:pPr>
              <w:pStyle w:val="Texto"/>
              <w:spacing w:after="80" w:line="213" w:lineRule="exact"/>
              <w:ind w:firstLine="0"/>
            </w:pPr>
            <w:r w:rsidRPr="00AB7CA1">
              <w:t>Se deroga en virtud de la inclusión de la regla 4.3.11., en la Segunda Resolución de Modificaciones a la RMF para 2016, publicada en el DOF el 6 de mayo de 2016.</w:t>
            </w:r>
          </w:p>
        </w:tc>
      </w:tr>
    </w:tbl>
    <w:p w14:paraId="2A7D83E4" w14:textId="77777777" w:rsidR="0098530D" w:rsidRPr="00AB7CA1" w:rsidRDefault="0098530D" w:rsidP="0098530D">
      <w:pPr>
        <w:pStyle w:val="Texto"/>
        <w:spacing w:after="80" w:line="213" w:lineRule="exact"/>
        <w:ind w:left="2736" w:hanging="1152"/>
      </w:pPr>
    </w:p>
    <w:p w14:paraId="2C39912E" w14:textId="77777777" w:rsidR="0098530D" w:rsidRPr="00AB7CA1" w:rsidRDefault="0098530D" w:rsidP="0098530D">
      <w:pPr>
        <w:pStyle w:val="Texto"/>
        <w:spacing w:after="80" w:line="213" w:lineRule="exact"/>
        <w:ind w:left="2736" w:hanging="1152"/>
        <w:rPr>
          <w:b/>
          <w:lang w:val="es-ES_tradnl"/>
        </w:rPr>
      </w:pPr>
      <w:r w:rsidRPr="00AB7CA1">
        <w:rPr>
          <w:b/>
        </w:rPr>
        <w:t>35/IVA/N</w:t>
      </w:r>
      <w:r w:rsidRPr="00AB7CA1">
        <w:rPr>
          <w:b/>
        </w:rPr>
        <w:tab/>
      </w:r>
      <w:r w:rsidRPr="00AB7CA1">
        <w:rPr>
          <w:b/>
          <w:lang w:val="es-ES_tradnl"/>
        </w:rPr>
        <w:t>Impuesto por la importación de servicios prestados en territorio nacional por residentes en el extranjero. Se causa cuando se dé la prestación del servicio.</w:t>
      </w:r>
    </w:p>
    <w:p w14:paraId="378352E6" w14:textId="77777777" w:rsidR="0098530D" w:rsidRPr="00AB7CA1" w:rsidRDefault="0098530D" w:rsidP="0098530D">
      <w:pPr>
        <w:pStyle w:val="Texto"/>
        <w:spacing w:after="80" w:line="213" w:lineRule="exact"/>
        <w:ind w:left="2736" w:hanging="1152"/>
        <w:rPr>
          <w:lang w:val="es-ES_tradnl"/>
        </w:rPr>
      </w:pPr>
      <w:r w:rsidRPr="00AB7CA1">
        <w:rPr>
          <w:b/>
          <w:lang w:val="es-ES_tradnl"/>
        </w:rPr>
        <w:tab/>
      </w:r>
      <w:r w:rsidRPr="00AB7CA1">
        <w:rPr>
          <w:lang w:val="es-ES_tradnl"/>
        </w:rPr>
        <w:t>El artículo 24, fracción V de la Ley del IVA señala que se considera importación de servicios el aprovechamiento en territorio nacional de los servicios a que se refiere el artículo 14 del mismo ordenamiento, cuando se presten por no residentes en el país.</w:t>
      </w:r>
    </w:p>
    <w:p w14:paraId="44101C71" w14:textId="77777777" w:rsidR="0098530D" w:rsidRPr="00AB7CA1" w:rsidRDefault="0098530D" w:rsidP="0098530D">
      <w:pPr>
        <w:pStyle w:val="Texto"/>
        <w:spacing w:after="80" w:line="213" w:lineRule="exact"/>
        <w:ind w:left="2736" w:hanging="1152"/>
        <w:rPr>
          <w:lang w:val="es-ES_tradnl"/>
        </w:rPr>
      </w:pPr>
      <w:r w:rsidRPr="00AB7CA1">
        <w:rPr>
          <w:lang w:val="es-ES_tradnl"/>
        </w:rPr>
        <w:tab/>
        <w:t>El artículo 26, fracción III de la ley en comento prevé que el momento de causación del impuesto es aquél en el que se pague efectivamente la contraprestación, refiriéndose únicamente a los casos previstos en las fracciones II a IV del artículo 24 de la Ley del IVA; en tanto que el artículo 26, fracción IV de la misma ley señala que, en el caso de aprovechamiento en territorio nacional de servicios prestados en el extranjero, se tendrá la obligación de pagar el impuesto en el momento en el que se pague efectivamente la contraprestación.</w:t>
      </w:r>
    </w:p>
    <w:p w14:paraId="3920018E" w14:textId="77777777" w:rsidR="0098530D" w:rsidRPr="00AB7CA1" w:rsidRDefault="0098530D" w:rsidP="0098530D">
      <w:pPr>
        <w:pStyle w:val="Texto"/>
        <w:spacing w:line="228" w:lineRule="exact"/>
        <w:ind w:left="2736" w:hanging="1152"/>
        <w:rPr>
          <w:lang w:val="es-ES_tradnl"/>
        </w:rPr>
      </w:pPr>
      <w:r w:rsidRPr="00AB7CA1">
        <w:rPr>
          <w:lang w:val="es-ES_tradnl"/>
        </w:rPr>
        <w:tab/>
        <w:t>El artículo 1o., primer párrafo del CFF, en su parte conducente, establece que las disposiciones de dicho ordenamiento se aplicarán en defecto de las leyes fiscales y sin perjuicio de lo dispuesto por los tratados internacionales en los que México sea parte.</w:t>
      </w:r>
    </w:p>
    <w:p w14:paraId="1BE86AA5" w14:textId="77777777" w:rsidR="0098530D" w:rsidRPr="00AB7CA1" w:rsidRDefault="0098530D" w:rsidP="0098530D">
      <w:pPr>
        <w:pStyle w:val="Texto"/>
        <w:spacing w:line="228" w:lineRule="exact"/>
        <w:ind w:left="2736" w:hanging="1152"/>
        <w:rPr>
          <w:lang w:val="es-ES_tradnl"/>
        </w:rPr>
      </w:pPr>
      <w:r w:rsidRPr="00AB7CA1">
        <w:rPr>
          <w:lang w:val="es-ES_tradnl"/>
        </w:rPr>
        <w:tab/>
        <w:t>En ese sentido, el artículo 6o. del CFF dispone que las contribuciones se causan conforme se realizan las situaciones jurídicas o de hecho, previstas en las leyes fiscales vigentes durante el lapso en que ocurran.</w:t>
      </w:r>
    </w:p>
    <w:p w14:paraId="3E500F69" w14:textId="77777777" w:rsidR="0098530D" w:rsidRPr="00AB7CA1" w:rsidRDefault="0098530D" w:rsidP="0098530D">
      <w:pPr>
        <w:pStyle w:val="Texto"/>
        <w:spacing w:line="228" w:lineRule="exact"/>
        <w:ind w:left="2736" w:hanging="1152"/>
        <w:rPr>
          <w:lang w:val="es-ES_tradnl"/>
        </w:rPr>
      </w:pPr>
      <w:r w:rsidRPr="00AB7CA1">
        <w:rPr>
          <w:lang w:val="es-ES_tradnl"/>
        </w:rPr>
        <w:tab/>
        <w:t xml:space="preserve">Así, aplicando lo dispuesto por el artículo 6o. del CFF, el gravamen se causa cuando, en términos de lo previsto por el artículo 24, fracción </w:t>
      </w:r>
      <w:r w:rsidRPr="00AB7CA1">
        <w:t>V</w:t>
      </w:r>
      <w:r w:rsidRPr="00AB7CA1">
        <w:rPr>
          <w:lang w:val="es-ES_tradnl"/>
        </w:rPr>
        <w:t xml:space="preserve"> de la Ley del IVA, se aprovechen en territorio nacional los servicios prestados por el residente en el extranjero.</w:t>
      </w:r>
    </w:p>
    <w:p w14:paraId="206C1653" w14:textId="77777777" w:rsidR="0098530D" w:rsidRPr="00AB7CA1" w:rsidRDefault="0098530D" w:rsidP="0098530D">
      <w:pPr>
        <w:pStyle w:val="Texto"/>
        <w:spacing w:line="228" w:lineRule="exact"/>
        <w:ind w:left="2736" w:hanging="1152"/>
        <w:rPr>
          <w:lang w:val="es-ES_tradnl"/>
        </w:rPr>
      </w:pPr>
      <w:r w:rsidRPr="00AB7CA1">
        <w:rPr>
          <w:lang w:val="es-ES_tradnl"/>
        </w:rPr>
        <w:tab/>
        <w:t xml:space="preserve">De una interpretación armónica de los artículos 24, fracción </w:t>
      </w:r>
      <w:r w:rsidRPr="00AB7CA1">
        <w:t>V</w:t>
      </w:r>
      <w:r w:rsidRPr="00AB7CA1">
        <w:rPr>
          <w:lang w:val="es-ES_tradnl"/>
        </w:rPr>
        <w:t xml:space="preserve"> de la Ley del IVA, así como 1o. y 6o. del CFF, tratándose de importación de servicios prestados en territorio nacional por residentes en el extranjero, se considerará como momento de causación del IVA, aquél en el que se aprovechen en territorio nacional los servicios prestados por el residente en el extranjero.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62120CB0"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DA12632" w14:textId="77777777" w:rsidR="0098530D" w:rsidRPr="00AB7CA1" w:rsidRDefault="0098530D" w:rsidP="00552502">
            <w:pPr>
              <w:pStyle w:val="Texto"/>
              <w:spacing w:line="228"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A434745" w14:textId="77777777" w:rsidR="0098530D" w:rsidRPr="00AB7CA1" w:rsidRDefault="0098530D" w:rsidP="00552502">
            <w:pPr>
              <w:pStyle w:val="Texto"/>
              <w:spacing w:line="228" w:lineRule="exact"/>
              <w:ind w:firstLine="0"/>
              <w:jc w:val="center"/>
              <w:rPr>
                <w:b/>
              </w:rPr>
            </w:pPr>
            <w:r w:rsidRPr="00AB7CA1">
              <w:rPr>
                <w:b/>
              </w:rPr>
              <w:t>Primer antecedente</w:t>
            </w:r>
          </w:p>
        </w:tc>
      </w:tr>
      <w:tr w:rsidR="0098530D" w:rsidRPr="00AB7CA1" w14:paraId="3052948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697DA7FB" w14:textId="77777777" w:rsidR="0098530D" w:rsidRPr="00AB7CA1" w:rsidRDefault="0098530D" w:rsidP="00552502">
            <w:pPr>
              <w:pStyle w:val="Texto"/>
              <w:spacing w:line="228" w:lineRule="exact"/>
              <w:ind w:firstLine="0"/>
            </w:pPr>
            <w:r w:rsidRPr="00AB7CA1">
              <w:lastRenderedPageBreak/>
              <w:t>136/2004/IVA</w:t>
            </w:r>
          </w:p>
        </w:tc>
        <w:tc>
          <w:tcPr>
            <w:tcW w:w="3237" w:type="pct"/>
            <w:tcBorders>
              <w:top w:val="single" w:sz="6" w:space="0" w:color="auto"/>
              <w:left w:val="single" w:sz="6" w:space="0" w:color="auto"/>
              <w:bottom w:val="single" w:sz="6" w:space="0" w:color="auto"/>
              <w:right w:val="single" w:sz="6" w:space="0" w:color="auto"/>
            </w:tcBorders>
          </w:tcPr>
          <w:p w14:paraId="14A2458B" w14:textId="77777777" w:rsidR="0098530D" w:rsidRPr="00AB7CA1" w:rsidRDefault="0098530D" w:rsidP="00552502">
            <w:pPr>
              <w:pStyle w:val="Texto"/>
              <w:spacing w:line="228" w:lineRule="exact"/>
              <w:ind w:firstLine="0"/>
            </w:pPr>
            <w:r w:rsidRPr="00AB7CA1">
              <w:t>Oficio 325-SAT-IV-B-92423 de 17 de diciembre de 2004, mediante el cual se emite la Primera Modificación a la compilación de criterios normativos, Boletín 2004.</w:t>
            </w:r>
          </w:p>
        </w:tc>
      </w:tr>
      <w:tr w:rsidR="0098530D" w:rsidRPr="00AB7CA1" w14:paraId="562B15D4"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6B19C1C2" w14:textId="77777777" w:rsidR="0098530D" w:rsidRPr="00AB7CA1" w:rsidRDefault="0098530D" w:rsidP="00552502">
            <w:pPr>
              <w:pStyle w:val="Texto"/>
              <w:spacing w:line="228" w:lineRule="exact"/>
              <w:ind w:firstLine="0"/>
              <w:jc w:val="center"/>
              <w:rPr>
                <w:b/>
              </w:rPr>
            </w:pPr>
            <w:r w:rsidRPr="00AB7CA1">
              <w:rPr>
                <w:b/>
              </w:rPr>
              <w:t>Motivo de la derogación</w:t>
            </w:r>
          </w:p>
        </w:tc>
      </w:tr>
      <w:tr w:rsidR="0098530D" w:rsidRPr="00AB7CA1" w14:paraId="3BE37DF4"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4DF144A6" w14:textId="77777777" w:rsidR="0098530D" w:rsidRPr="00AB7CA1" w:rsidRDefault="0098530D" w:rsidP="00552502">
            <w:pPr>
              <w:pStyle w:val="Texto"/>
              <w:spacing w:line="228" w:lineRule="exact"/>
              <w:ind w:firstLine="0"/>
              <w:rPr>
                <w:b/>
              </w:rPr>
            </w:pPr>
            <w:r w:rsidRPr="00AB7CA1">
              <w:t xml:space="preserve">Se deroga toda vez que el contenido del criterio no es acorde con la modificación del artículo 26, fracción IV de la Ley del IVA, publicada el 9 de diciembre de 2019. </w:t>
            </w:r>
          </w:p>
        </w:tc>
      </w:tr>
    </w:tbl>
    <w:p w14:paraId="2163D7D4" w14:textId="77777777" w:rsidR="0098530D" w:rsidRPr="00AB7CA1" w:rsidRDefault="0098530D" w:rsidP="0098530D">
      <w:pPr>
        <w:pStyle w:val="Texto"/>
        <w:spacing w:line="228" w:lineRule="exact"/>
        <w:ind w:left="2736" w:hanging="1152"/>
        <w:rPr>
          <w:strike/>
        </w:rPr>
      </w:pPr>
    </w:p>
    <w:p w14:paraId="0E5B9FDC" w14:textId="77777777" w:rsidR="0098530D" w:rsidRDefault="0098530D" w:rsidP="0098530D">
      <w:pPr>
        <w:pStyle w:val="Texto"/>
        <w:spacing w:line="228" w:lineRule="exact"/>
        <w:ind w:left="2736" w:hanging="1152"/>
        <w:rPr>
          <w:b/>
        </w:rPr>
      </w:pPr>
      <w:r w:rsidRPr="00AB7CA1">
        <w:rPr>
          <w:b/>
        </w:rPr>
        <w:t>41/IVA/N</w:t>
      </w:r>
      <w:r w:rsidRPr="00AB7CA1">
        <w:rPr>
          <w:b/>
        </w:rPr>
        <w:tab/>
        <w:t>En la enajenación de artículos puestos a bordo de aeronaves. Aplicación del Convenio sobre Transportes Aéreos entre el Gobierno de los Estados Unidos Mexicanos y el Gobierno de los Estados Unidos de América y otros equivalentes.</w:t>
      </w:r>
    </w:p>
    <w:p w14:paraId="6C10651B" w14:textId="77777777" w:rsidR="0098530D" w:rsidRPr="00AB7CA1" w:rsidRDefault="0098530D" w:rsidP="0098530D">
      <w:pPr>
        <w:pStyle w:val="Texto"/>
        <w:spacing w:line="228" w:lineRule="exact"/>
        <w:ind w:left="2736" w:hanging="1152"/>
      </w:pPr>
      <w:r w:rsidRPr="00AB7CA1">
        <w:rPr>
          <w:b/>
        </w:rPr>
        <w:tab/>
      </w:r>
      <w:r w:rsidRPr="00AB7CA1">
        <w:t>El artículo 1o., fracción I de la Ley del IVA indica que están obligadas al pago del impuesto establecido en dicha ley, las personas físicas y las morales que, en territorio nacional, enajenen bienes. Además, el contribuyente deberá trasladar el impuesto, en forma expresa y por separado, a las personas que adquieran los bienes.</w:t>
      </w:r>
    </w:p>
    <w:p w14:paraId="4C03A0C3" w14:textId="77777777" w:rsidR="0098530D" w:rsidRPr="00AB7CA1" w:rsidRDefault="0098530D" w:rsidP="0098530D">
      <w:pPr>
        <w:pStyle w:val="Texto"/>
        <w:spacing w:line="228" w:lineRule="exact"/>
        <w:ind w:left="2736" w:hanging="1152"/>
      </w:pPr>
      <w:r w:rsidRPr="00AB7CA1">
        <w:tab/>
        <w:t>Del Convenio sobre Transportes Aéreos entre el Gobierno de los Estados Unidos Mexicanos y el Gobierno de los Estados Unidos de América, el cual se encuentra registrado ante la Secretaría de Relaciones Exteriores; se observa que conforme al Artículo 7, inciso d) de dicho Convenio, ambas partes acordaron exentar, a base de reciprocidad, de impuestos de aduanas, arbitrios, derechos de inspección y otros impuestos o gravámenes nacionales, al combustible, aceites lubricantes, otros materiales técnicos fungibles, piezas de repuesto, equipo corriente y provisiones puestos a bordo de las aeronaves de las líneas de una parte en el territorio de la otra y usados en servicios internacionales.</w:t>
      </w:r>
    </w:p>
    <w:p w14:paraId="423B3EAB" w14:textId="77777777" w:rsidR="0098530D" w:rsidRPr="00AB7CA1" w:rsidRDefault="0098530D" w:rsidP="0098530D">
      <w:pPr>
        <w:pStyle w:val="Texto"/>
        <w:spacing w:line="228" w:lineRule="exact"/>
        <w:ind w:left="2736" w:hanging="1152"/>
      </w:pPr>
      <w:r w:rsidRPr="00AB7CA1">
        <w:tab/>
        <w:t>En consecuencia, la expresión otros impuestos o gravámenes nacionales que incide en el combustible, aceites lubricantes, otros materiales técnicos fungibles, piezas de repuesto, equipo corriente y provisiones puestos a bordo de aeronaves a que se refiere el inciso citado, debe entenderse en un contexto amplio; es decir, referida a todos los impuestos y gravámenes instituidos en México, considerando el propósito y fines por los que se celebró el Convenio.</w:t>
      </w:r>
    </w:p>
    <w:p w14:paraId="75DFFA30" w14:textId="77777777" w:rsidR="0098530D" w:rsidRPr="00AB7CA1" w:rsidRDefault="0098530D" w:rsidP="0098530D">
      <w:pPr>
        <w:pStyle w:val="Texto"/>
        <w:spacing w:after="80" w:line="212" w:lineRule="exact"/>
        <w:ind w:left="2736" w:hanging="1152"/>
      </w:pPr>
      <w:r w:rsidRPr="00AB7CA1">
        <w:tab/>
        <w:t>Sin embargo, el IVA trasladado a las líneas aéreas que tengan derecho a aplicar los beneficios del Convenio referido, en la enajenación de los artículos a que se refiere el Artículo 7, inciso d) del Convenio, siempre que sean usados en servicios aéreos internacionales, podrá ser susceptible de solicitarse en devolución, conforme a lo dispuesto por el artículo 22 del CFF y a las demás disposiciones aplicables.</w:t>
      </w:r>
    </w:p>
    <w:p w14:paraId="2C8DFC00" w14:textId="77777777" w:rsidR="0098530D" w:rsidRPr="00AB7CA1" w:rsidRDefault="0098530D" w:rsidP="0098530D">
      <w:pPr>
        <w:pStyle w:val="Texto"/>
        <w:spacing w:after="80" w:line="212" w:lineRule="exact"/>
        <w:ind w:left="2736" w:hanging="1152"/>
      </w:pPr>
      <w:r w:rsidRPr="00AB7CA1">
        <w:tab/>
        <w:t>Este criterio también resulta aplicable a todos aquellos convenios bilaterales aéreos que México tenga en vigor y que contengan una disposición idéntica o análoga al Artículo 7, inciso d) del Convenio a que se refieren los párrafos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75D5E302"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5E094984" w14:textId="77777777" w:rsidR="0098530D" w:rsidRPr="00AB7CA1" w:rsidRDefault="0098530D" w:rsidP="00552502">
            <w:pPr>
              <w:pStyle w:val="Texto"/>
              <w:spacing w:after="80" w:line="212"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25562BAA" w14:textId="77777777" w:rsidR="0098530D" w:rsidRPr="00AB7CA1" w:rsidRDefault="0098530D" w:rsidP="00552502">
            <w:pPr>
              <w:pStyle w:val="Texto"/>
              <w:spacing w:after="80" w:line="212" w:lineRule="exact"/>
              <w:ind w:firstLine="0"/>
              <w:jc w:val="center"/>
              <w:rPr>
                <w:b/>
              </w:rPr>
            </w:pPr>
            <w:r w:rsidRPr="00AB7CA1">
              <w:rPr>
                <w:b/>
              </w:rPr>
              <w:t>Primer antecedente</w:t>
            </w:r>
          </w:p>
        </w:tc>
      </w:tr>
      <w:tr w:rsidR="0098530D" w:rsidRPr="00AB7CA1" w14:paraId="3B021628"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2972C428" w14:textId="77777777" w:rsidR="0098530D" w:rsidRPr="00AB7CA1" w:rsidRDefault="0098530D" w:rsidP="00552502">
            <w:pPr>
              <w:pStyle w:val="Texto"/>
              <w:spacing w:after="80" w:line="212" w:lineRule="exact"/>
              <w:ind w:firstLine="0"/>
            </w:pPr>
            <w:r w:rsidRPr="00AB7CA1">
              <w:lastRenderedPageBreak/>
              <w:t>2012</w:t>
            </w:r>
          </w:p>
        </w:tc>
        <w:tc>
          <w:tcPr>
            <w:tcW w:w="3237" w:type="pct"/>
            <w:tcBorders>
              <w:top w:val="single" w:sz="6" w:space="0" w:color="auto"/>
              <w:left w:val="single" w:sz="6" w:space="0" w:color="auto"/>
              <w:bottom w:val="single" w:sz="6" w:space="0" w:color="auto"/>
              <w:right w:val="single" w:sz="6" w:space="0" w:color="auto"/>
            </w:tcBorders>
          </w:tcPr>
          <w:p w14:paraId="32DBF2E5" w14:textId="77777777" w:rsidR="0098530D" w:rsidRPr="00AB7CA1" w:rsidRDefault="0098530D" w:rsidP="00552502">
            <w:pPr>
              <w:pStyle w:val="Texto"/>
              <w:spacing w:after="80" w:line="212" w:lineRule="exact"/>
              <w:ind w:firstLine="0"/>
            </w:pPr>
            <w:r w:rsidRPr="00AB7CA1">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138/2012/IVA.</w:t>
            </w:r>
          </w:p>
        </w:tc>
      </w:tr>
      <w:tr w:rsidR="0098530D" w:rsidRPr="00AB7CA1" w14:paraId="03162C85"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5A18C3A3" w14:textId="77777777" w:rsidR="0098530D" w:rsidRPr="00AB7CA1" w:rsidRDefault="0098530D" w:rsidP="00552502">
            <w:pPr>
              <w:pStyle w:val="Texto"/>
              <w:spacing w:after="80" w:line="212" w:lineRule="exact"/>
              <w:ind w:firstLine="0"/>
              <w:jc w:val="center"/>
              <w:rPr>
                <w:b/>
              </w:rPr>
            </w:pPr>
            <w:r w:rsidRPr="00AB7CA1">
              <w:rPr>
                <w:b/>
              </w:rPr>
              <w:t>Derogación</w:t>
            </w:r>
          </w:p>
        </w:tc>
      </w:tr>
      <w:tr w:rsidR="0098530D" w:rsidRPr="00AB7CA1" w14:paraId="17295001"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4B697CD" w14:textId="77777777" w:rsidR="0098530D" w:rsidRPr="00AB7CA1" w:rsidRDefault="0098530D" w:rsidP="00552502">
            <w:pPr>
              <w:pStyle w:val="Texto"/>
              <w:spacing w:after="80" w:line="212" w:lineRule="exact"/>
              <w:ind w:firstLine="0"/>
            </w:pPr>
            <w:r w:rsidRPr="00AB7CA1">
              <w:t>Cuarta Resolución de Modificaciones a la RMF 2017</w:t>
            </w:r>
          </w:p>
        </w:tc>
        <w:tc>
          <w:tcPr>
            <w:tcW w:w="3237" w:type="pct"/>
            <w:tcBorders>
              <w:top w:val="single" w:sz="6" w:space="0" w:color="auto"/>
              <w:left w:val="single" w:sz="6" w:space="0" w:color="auto"/>
              <w:bottom w:val="single" w:sz="6" w:space="0" w:color="auto"/>
              <w:right w:val="single" w:sz="6" w:space="0" w:color="auto"/>
            </w:tcBorders>
          </w:tcPr>
          <w:p w14:paraId="6BEA50C4" w14:textId="77777777" w:rsidR="0098530D" w:rsidRPr="00AB7CA1" w:rsidRDefault="0098530D" w:rsidP="00552502">
            <w:pPr>
              <w:pStyle w:val="Texto"/>
              <w:spacing w:after="80" w:line="212" w:lineRule="exact"/>
              <w:ind w:firstLine="0"/>
              <w:rPr>
                <w:b/>
              </w:rPr>
            </w:pPr>
            <w:r w:rsidRPr="00AB7CA1">
              <w:t>Publicada en el DOF el 10 de octubre de 2017, Anexo 7 publicado en DOF el 12 de octubre de 2017.</w:t>
            </w:r>
          </w:p>
        </w:tc>
      </w:tr>
      <w:tr w:rsidR="0098530D" w:rsidRPr="00AB7CA1" w14:paraId="38315BE6"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26EEF4C8" w14:textId="77777777" w:rsidR="0098530D" w:rsidRPr="00AB7CA1" w:rsidRDefault="0098530D" w:rsidP="00552502">
            <w:pPr>
              <w:pStyle w:val="Texto"/>
              <w:spacing w:after="80" w:line="212" w:lineRule="exact"/>
              <w:ind w:firstLine="0"/>
              <w:jc w:val="center"/>
              <w:rPr>
                <w:b/>
              </w:rPr>
            </w:pPr>
            <w:r w:rsidRPr="00AB7CA1">
              <w:rPr>
                <w:b/>
              </w:rPr>
              <w:t>Motivo de la derogación</w:t>
            </w:r>
          </w:p>
        </w:tc>
      </w:tr>
      <w:tr w:rsidR="0098530D" w:rsidRPr="00AB7CA1" w14:paraId="71428267"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589F45B8" w14:textId="77777777" w:rsidR="0098530D" w:rsidRPr="00AB7CA1" w:rsidRDefault="0098530D" w:rsidP="00552502">
            <w:pPr>
              <w:pStyle w:val="Texto"/>
              <w:spacing w:after="80" w:line="212" w:lineRule="exact"/>
              <w:ind w:firstLine="0"/>
              <w:rPr>
                <w:b/>
              </w:rPr>
            </w:pPr>
            <w:r w:rsidRPr="00AB7CA1">
              <w:t>En atención a que ha sido incorporado al Acuerdo sobre Transporte Aéreo entre el Gobierno de los Estados Unidos Mexicanos y el Gobierno de los Estados Unidos de América, publicado en el DOF el 19 de agosto de 2016, que estarán exentos sobre la base de reciprocidad los impuestos al consumo interno.</w:t>
            </w:r>
          </w:p>
        </w:tc>
      </w:tr>
    </w:tbl>
    <w:p w14:paraId="1F918C1A" w14:textId="77777777" w:rsidR="0098530D" w:rsidRPr="00AB7CA1" w:rsidRDefault="0098530D" w:rsidP="0098530D">
      <w:pPr>
        <w:pStyle w:val="Texto"/>
        <w:spacing w:after="80" w:line="212" w:lineRule="exact"/>
        <w:ind w:left="2736" w:hanging="1152"/>
        <w:rPr>
          <w:b/>
        </w:rPr>
      </w:pPr>
    </w:p>
    <w:p w14:paraId="2DB87D77" w14:textId="77777777" w:rsidR="0098530D" w:rsidRDefault="0098530D" w:rsidP="0098530D">
      <w:pPr>
        <w:pStyle w:val="Texto"/>
        <w:spacing w:after="80" w:line="212" w:lineRule="exact"/>
        <w:ind w:left="2736" w:hanging="1152"/>
        <w:rPr>
          <w:b/>
        </w:rPr>
      </w:pPr>
      <w:r w:rsidRPr="00AB7CA1">
        <w:rPr>
          <w:b/>
        </w:rPr>
        <w:t>45/IVA/N</w:t>
      </w:r>
      <w:r w:rsidRPr="00AB7CA1">
        <w:tab/>
      </w:r>
      <w:r w:rsidRPr="00AB7CA1">
        <w:rPr>
          <w:b/>
        </w:rPr>
        <w:t>Acreditamiento del IVA tratándose de contribuyentes que obtengan ingresos por actividades distintas de las establecidas en el artículo 1o. de la Ley del IVA.</w:t>
      </w:r>
    </w:p>
    <w:p w14:paraId="19B204AA" w14:textId="77777777" w:rsidR="0098530D" w:rsidRPr="00AB7CA1" w:rsidRDefault="0098530D" w:rsidP="0098530D">
      <w:pPr>
        <w:pStyle w:val="Texto"/>
        <w:spacing w:after="80" w:line="212" w:lineRule="exact"/>
        <w:ind w:left="2736" w:hanging="1152"/>
        <w:rPr>
          <w:lang w:val="es-ES_tradnl"/>
        </w:rPr>
      </w:pPr>
      <w:r w:rsidRPr="00AB7CA1">
        <w:rPr>
          <w:lang w:val="es-ES_tradnl"/>
        </w:rPr>
        <w:tab/>
        <w:t>El artículo 5o., fracción I de la Ley del IVA establece que para que sea acreditable el impuesto trasladado o el pagado en la importación, este deberá corresponder a bienes, servicios o al uso o goce temporal de bienes, estrictamente indispensables para la realización de actividades distintas de la importación, por las que se deba pagar el impuesto o a las que se les aplique la tasa de 0%, considerando como estrictamente indispensables las erogaciones que sean deducibles para los fines del ISR, aún cuando no se esté obligado al pago de este último impuesto.</w:t>
      </w:r>
    </w:p>
    <w:p w14:paraId="5D69BDB4" w14:textId="77777777" w:rsidR="0098530D" w:rsidRPr="00AB7CA1" w:rsidRDefault="0098530D" w:rsidP="0098530D">
      <w:pPr>
        <w:pStyle w:val="Texto"/>
        <w:spacing w:after="80" w:line="212" w:lineRule="exact"/>
        <w:ind w:left="2736" w:hanging="1152"/>
        <w:rPr>
          <w:lang w:val="es-ES_tradnl"/>
        </w:rPr>
      </w:pPr>
      <w:r w:rsidRPr="00AB7CA1">
        <w:rPr>
          <w:lang w:val="es-ES_tradnl"/>
        </w:rPr>
        <w:tab/>
        <w:t>Por su parte, la fracción V, incisos c) y d), numeral 3 del citado artículo, establece que cuando se esté obligado al pago del IVA o cuando sea aplicable la tasa de 0%, sólo por una parte de las actividades que realice el contribuyente, el IVA trasladado o pagado en la importación correspondiente a erogaciones que se utilicen indistintamente para realizar las actividades por las que se deba pagar el IVA, para realizar actividades a las que conforme la Ley les sea aplicable la tasa de 0% o para realizar las actividades por las que no se deba pagar el impuesto, el acreditamiento procederá únicamente en la proporción en la que el valor de las actividades por las que deba pagarse el IVA o a las que se aplique la tasa de 0%, represente en el valor total de las actividades mencionadas que el contribuyente realice en el mes de que se trate.</w:t>
      </w:r>
    </w:p>
    <w:p w14:paraId="3C9F9B53" w14:textId="77777777" w:rsidR="0098530D" w:rsidRPr="00AB7CA1" w:rsidRDefault="0098530D" w:rsidP="0098530D">
      <w:pPr>
        <w:pStyle w:val="Texto"/>
        <w:spacing w:after="80" w:line="212" w:lineRule="exact"/>
        <w:ind w:left="2736" w:hanging="1152"/>
        <w:rPr>
          <w:lang w:val="es-ES_tradnl"/>
        </w:rPr>
      </w:pPr>
      <w:r w:rsidRPr="00AB7CA1">
        <w:rPr>
          <w:lang w:val="es-ES_tradnl"/>
        </w:rPr>
        <w:tab/>
        <w:t>En la Ley del IVA no se establece el procedimiento para determinar el IVA acreditable cuando, además de las actividades mencionadas en el párrafo anterior, los contribuyentes obtienen ingresos por actos o actividades diferentes a los establecidos en el artículo 1o. de la Ley del IVA, para cuya realización y obtención efectuaron gastos e inversiones que destinaron indistintamente a las mismas.</w:t>
      </w:r>
    </w:p>
    <w:p w14:paraId="52169F6F" w14:textId="77777777" w:rsidR="0098530D" w:rsidRPr="00AB7CA1" w:rsidRDefault="0098530D" w:rsidP="0098530D">
      <w:pPr>
        <w:pStyle w:val="Texto"/>
        <w:spacing w:line="217" w:lineRule="exact"/>
        <w:ind w:left="2736" w:hanging="1152"/>
        <w:rPr>
          <w:lang w:val="es-ES_tradnl"/>
        </w:rPr>
      </w:pPr>
      <w:r w:rsidRPr="00AB7CA1">
        <w:rPr>
          <w:lang w:val="es-ES_tradnl"/>
        </w:rPr>
        <w:tab/>
        <w:t xml:space="preserve">Conforme a la tesis de jurisprudencia 2a./J. 170/2015 (10a.), emitida por la Segunda Sala de la Suprema Corte de Justicia de la Nación, en dicho supuesto se deben incluir para el cálculo del factor de prorrateo que se aplicará para determinar el monto del IVA acreditable, los ingresos que se obtengan por la realización de actos o actividades diferentes a los establecidos en el artículo 1o. de la Ley del IVA, de manera que la acreditación guarde relación exclusivamente con el valor de las actividades gravadas que se realicen por las que se deba pagar el impuesto o se encuentren gravadas a la tasa del 0%, toda vez que esa es la finalidad del </w:t>
      </w:r>
      <w:r w:rsidRPr="00AB7CA1">
        <w:rPr>
          <w:lang w:val="es-ES_tradnl"/>
        </w:rPr>
        <w:lastRenderedPageBreak/>
        <w:t>régimen previsto en el inciso c) de la fracción V del artículo 5o. de la Ley del IVA.</w:t>
      </w:r>
    </w:p>
    <w:p w14:paraId="48EF4ED3" w14:textId="77777777" w:rsidR="0098530D" w:rsidRDefault="0098530D" w:rsidP="0098530D">
      <w:pPr>
        <w:pStyle w:val="Texto"/>
        <w:spacing w:line="217" w:lineRule="exact"/>
        <w:ind w:left="2736" w:hanging="1152"/>
        <w:rPr>
          <w:lang w:val="es-ES_tradnl"/>
        </w:rPr>
      </w:pPr>
      <w:r w:rsidRPr="00AB7CA1">
        <w:rPr>
          <w:lang w:val="es-ES_tradnl"/>
        </w:rPr>
        <w:tab/>
        <w:t>Conforme a lo anterior, cuando los contribuyentes realicen actos o actividades por los que se deba pagar el IVA o les sea aplicable la tasa del 0%, obtengan ingresos por actos o actividades diferentes a los establecidos en el artículo 1o. de la Ley del IVA y, en su caso, realicen actos o actividades por los que no se deba pagar el impuesto mencionado, para cuya realización y obtención efectuaron gastos e inversiones que emplearon indistintamente en dichas actividades, se determinará el impuesto acreditable correspondiente a dichos gastos e inversiones aplicando la proporción prevista en el artículo 5o., fracción V, incisos c) y d), numeral 3, de la Ley del IVA, considerando en el valor total de las actividades, los ingresos por actos o actividades diferentes a los establecidos en el artículo 1o. de la citada Ley.</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651DC1CC"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1FAFC4E7" w14:textId="77777777" w:rsidR="0098530D" w:rsidRPr="00AB7CA1" w:rsidRDefault="0098530D" w:rsidP="00552502">
            <w:pPr>
              <w:pStyle w:val="Texto"/>
              <w:spacing w:line="217"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35219A00" w14:textId="77777777" w:rsidR="0098530D" w:rsidRPr="00AB7CA1" w:rsidRDefault="0098530D" w:rsidP="00552502">
            <w:pPr>
              <w:pStyle w:val="Texto"/>
              <w:spacing w:line="217" w:lineRule="exact"/>
              <w:ind w:firstLine="0"/>
              <w:jc w:val="center"/>
              <w:rPr>
                <w:b/>
              </w:rPr>
            </w:pPr>
            <w:r w:rsidRPr="00AB7CA1">
              <w:rPr>
                <w:b/>
              </w:rPr>
              <w:t>Primer antecedente</w:t>
            </w:r>
          </w:p>
        </w:tc>
      </w:tr>
      <w:tr w:rsidR="0098530D" w:rsidRPr="00AB7CA1" w14:paraId="734533A0"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1A09A1B" w14:textId="77777777" w:rsidR="0098530D" w:rsidRPr="00AB7CA1" w:rsidRDefault="0098530D" w:rsidP="00552502">
            <w:pPr>
              <w:pStyle w:val="Texto"/>
              <w:spacing w:line="217" w:lineRule="exact"/>
              <w:ind w:firstLine="0"/>
            </w:pPr>
            <w:r w:rsidRPr="00AB7CA1">
              <w:t>Cuarta Resolución de Modificaciones a la RMF para 2018</w:t>
            </w:r>
          </w:p>
        </w:tc>
        <w:tc>
          <w:tcPr>
            <w:tcW w:w="3237" w:type="pct"/>
            <w:tcBorders>
              <w:top w:val="single" w:sz="6" w:space="0" w:color="auto"/>
              <w:left w:val="single" w:sz="6" w:space="0" w:color="auto"/>
              <w:bottom w:val="single" w:sz="6" w:space="0" w:color="auto"/>
              <w:right w:val="single" w:sz="6" w:space="0" w:color="auto"/>
            </w:tcBorders>
          </w:tcPr>
          <w:p w14:paraId="4944E655" w14:textId="77777777" w:rsidR="0098530D" w:rsidRPr="00AB7CA1" w:rsidRDefault="0098530D" w:rsidP="00552502">
            <w:pPr>
              <w:pStyle w:val="Texto"/>
              <w:spacing w:line="217" w:lineRule="exact"/>
              <w:ind w:firstLine="0"/>
            </w:pPr>
            <w:r w:rsidRPr="00AB7CA1">
              <w:t>Publicada en el DOF el 30 de noviembre de 2018, Anexo 7, publicado en el DOF el mismo 30 de noviembre de 2018.</w:t>
            </w:r>
          </w:p>
        </w:tc>
      </w:tr>
      <w:tr w:rsidR="0098530D" w:rsidRPr="00AB7CA1" w14:paraId="193E89AA"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40DA7EC8" w14:textId="77777777" w:rsidR="0098530D" w:rsidRPr="00AB7CA1" w:rsidRDefault="0098530D" w:rsidP="00552502">
            <w:pPr>
              <w:pStyle w:val="Texto"/>
              <w:spacing w:line="217" w:lineRule="exact"/>
              <w:ind w:firstLine="0"/>
              <w:jc w:val="center"/>
            </w:pPr>
            <w:r w:rsidRPr="00AB7CA1">
              <w:rPr>
                <w:b/>
              </w:rPr>
              <w:t>Derogación</w:t>
            </w:r>
          </w:p>
        </w:tc>
      </w:tr>
      <w:tr w:rsidR="0098530D" w:rsidRPr="00AB7CA1" w14:paraId="533065E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F33EB6B" w14:textId="77777777" w:rsidR="0098530D" w:rsidRPr="00AB7CA1" w:rsidRDefault="0098530D" w:rsidP="00552502">
            <w:pPr>
              <w:pStyle w:val="Texto"/>
              <w:spacing w:line="217" w:lineRule="exact"/>
              <w:ind w:firstLine="0"/>
            </w:pPr>
            <w:r w:rsidRPr="00AB7CA1">
              <w:t>RMF para 2022.</w:t>
            </w:r>
          </w:p>
        </w:tc>
        <w:tc>
          <w:tcPr>
            <w:tcW w:w="3237" w:type="pct"/>
            <w:tcBorders>
              <w:top w:val="single" w:sz="6" w:space="0" w:color="auto"/>
              <w:left w:val="single" w:sz="6" w:space="0" w:color="auto"/>
              <w:bottom w:val="single" w:sz="6" w:space="0" w:color="auto"/>
              <w:right w:val="single" w:sz="6" w:space="0" w:color="auto"/>
            </w:tcBorders>
          </w:tcPr>
          <w:p w14:paraId="55DB253D" w14:textId="77777777" w:rsidR="0098530D" w:rsidRPr="00AB7CA1" w:rsidRDefault="0098530D" w:rsidP="00552502">
            <w:pPr>
              <w:pStyle w:val="Texto"/>
              <w:spacing w:line="217" w:lineRule="exact"/>
              <w:ind w:firstLine="0"/>
            </w:pPr>
            <w:r w:rsidRPr="00AB7CA1">
              <w:t>Publicada en el DOF el 27 de diciembre de 2021. El Anexo 7 publicado en el DOF el 05 de enero de 2022.</w:t>
            </w:r>
          </w:p>
        </w:tc>
      </w:tr>
      <w:tr w:rsidR="0098530D" w:rsidRPr="00AB7CA1" w14:paraId="1A86A71B"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02C35453" w14:textId="77777777" w:rsidR="0098530D" w:rsidRPr="00AB7CA1" w:rsidRDefault="0098530D" w:rsidP="00552502">
            <w:pPr>
              <w:pStyle w:val="Texto"/>
              <w:spacing w:line="217" w:lineRule="exact"/>
              <w:ind w:firstLine="0"/>
              <w:jc w:val="center"/>
              <w:rPr>
                <w:b/>
              </w:rPr>
            </w:pPr>
            <w:r w:rsidRPr="00AB7CA1">
              <w:rPr>
                <w:b/>
              </w:rPr>
              <w:t>Motivo de la derogación</w:t>
            </w:r>
          </w:p>
        </w:tc>
      </w:tr>
      <w:tr w:rsidR="0098530D" w:rsidRPr="00AB7CA1" w14:paraId="4582390D"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3AC57E12" w14:textId="77777777" w:rsidR="0098530D" w:rsidRPr="00AB7CA1" w:rsidRDefault="0098530D" w:rsidP="00552502">
            <w:pPr>
              <w:pStyle w:val="Texto"/>
              <w:spacing w:line="217" w:lineRule="exact"/>
              <w:ind w:firstLine="0"/>
            </w:pPr>
            <w:r w:rsidRPr="00AB7CA1">
              <w:t>Se deroga en virtud de la entrada en vigor a la adición del artículo 4o.-A y la reforma al artículo 5o., fracción V, incisos b), c) y d), numerales 2 y 3 de la Ley del IVA, publicada en el DOF el 12 de noviembre de 2021.</w:t>
            </w:r>
          </w:p>
        </w:tc>
      </w:tr>
    </w:tbl>
    <w:p w14:paraId="2FD390A0" w14:textId="77777777" w:rsidR="0098530D" w:rsidRPr="00AB7CA1" w:rsidRDefault="0098530D" w:rsidP="0098530D">
      <w:pPr>
        <w:pStyle w:val="Texto"/>
        <w:spacing w:line="217" w:lineRule="exact"/>
        <w:ind w:left="2736" w:hanging="1152"/>
        <w:rPr>
          <w:lang w:val="es-ES_tradnl"/>
        </w:rPr>
      </w:pPr>
    </w:p>
    <w:p w14:paraId="626008FD" w14:textId="77777777" w:rsidR="0098530D" w:rsidRDefault="0098530D" w:rsidP="0098530D">
      <w:pPr>
        <w:pStyle w:val="Texto"/>
        <w:spacing w:line="217" w:lineRule="exact"/>
        <w:ind w:left="2736" w:hanging="1152"/>
        <w:rPr>
          <w:b/>
        </w:rPr>
      </w:pPr>
      <w:r w:rsidRPr="00AB7CA1">
        <w:rPr>
          <w:b/>
        </w:rPr>
        <w:t>46/IVA/N</w:t>
      </w:r>
      <w:r w:rsidRPr="00AB7CA1">
        <w:rPr>
          <w:b/>
        </w:rPr>
        <w:tab/>
        <w:t>Retención del 6% al IVA a que se refiere la fracción IV del artículo 1o.-A de la Ley del IVA</w:t>
      </w:r>
    </w:p>
    <w:p w14:paraId="1945BAF6" w14:textId="77777777" w:rsidR="0098530D" w:rsidRPr="00AB7CA1" w:rsidRDefault="0098530D" w:rsidP="0098530D">
      <w:pPr>
        <w:pStyle w:val="Texto"/>
        <w:spacing w:line="217" w:lineRule="exact"/>
        <w:ind w:left="2736" w:hanging="1152"/>
        <w:rPr>
          <w:lang w:val="es-ES_tradnl"/>
        </w:rPr>
      </w:pPr>
      <w:r w:rsidRPr="00AB7CA1">
        <w:rPr>
          <w:lang w:val="es-ES_tradnl"/>
        </w:rPr>
        <w:tab/>
        <w:t>El artículo 1o.-A, fracción IV de la Ley del IVA señala que están obligadas a retener el impuesto que se les traslade, aquellas personas morales o personas físicas con actividades empresariales que reciban servicios a través de los cuales se pongan a disposición del contratante o de una parte relacionada de este, personal que desempeñe sus funciones en las instalaciones del contratante o de una parte relacionada de este, o incluso fuera de estas, estén o no bajo la dirección, supervisión, coordinación o dependencia del contratante, independientemente de la denominación que se le dé a la obligación contractual y dicha disposición específica que la retención se hará por el 6% del valor de la contraprestación efectivamente pagada.</w:t>
      </w:r>
    </w:p>
    <w:p w14:paraId="23223C2C" w14:textId="77777777" w:rsidR="0098530D" w:rsidRPr="00AB7CA1" w:rsidRDefault="0098530D" w:rsidP="0098530D">
      <w:pPr>
        <w:pStyle w:val="Texto"/>
        <w:spacing w:line="217" w:lineRule="exact"/>
        <w:ind w:left="2736" w:hanging="1152"/>
        <w:rPr>
          <w:lang w:val="es-ES_tradnl"/>
        </w:rPr>
      </w:pPr>
      <w:r w:rsidRPr="00AB7CA1">
        <w:rPr>
          <w:lang w:val="es-ES_tradnl"/>
        </w:rPr>
        <w:tab/>
        <w:t>Por su parte, el artículo 5o. del CFF menciona que las disposiciones fiscales que establezcan cargas a los particulares y las que señalan excepciones a las mismas, así como las que fijan las infracciones y sanciones, son de aplicación estricta. Sobre el particular, la Suprema Corte de Justicia de la Nación ha señalado que tratándose de normas de aplicación estricta es válido, para fines de su interpretación, acudir a diversos métodos, entre los que se encuentra el teleológico o exegético.</w:t>
      </w:r>
    </w:p>
    <w:p w14:paraId="736B1E6D" w14:textId="77777777" w:rsidR="0098530D" w:rsidRPr="00AB7CA1" w:rsidRDefault="0098530D" w:rsidP="0098530D">
      <w:pPr>
        <w:pStyle w:val="Texto"/>
        <w:spacing w:line="223" w:lineRule="exact"/>
        <w:ind w:left="2736" w:hanging="1152"/>
        <w:rPr>
          <w:lang w:val="es-ES_tradnl"/>
        </w:rPr>
      </w:pPr>
      <w:r w:rsidRPr="00AB7CA1">
        <w:rPr>
          <w:lang w:val="es-ES_tradnl"/>
        </w:rPr>
        <w:tab/>
        <w:t xml:space="preserve">En este sentido, aún y cuando en el proceso legislativo que dio origen a la reforma al artículo 1o.-A, fracción IV de la Ley del IVA inicialmente se hacía mención a la retención del impuesto respecto de los servicios de subcontratación laboral a que se refiere la Ley Federal del Trabajo, durante la dictaminación efectuada por la Comisión de Hacienda y Crédito Público de la Cámara de Diputados se eliminó tal referencia y el precepto fue aprobado en esos términos, por lo que, para efectos fiscales, debe tenerse que, los </w:t>
      </w:r>
      <w:r w:rsidRPr="00AB7CA1">
        <w:rPr>
          <w:lang w:val="es-ES_tradnl"/>
        </w:rPr>
        <w:lastRenderedPageBreak/>
        <w:t>servicios objeto de retención son los que se describen en el citado precepto, es decir, todos aquellos en los que se pone a disposición del contratante o de una parte relacionada de este, personal que, esté</w:t>
      </w:r>
      <w:r>
        <w:rPr>
          <w:lang w:val="es-ES_tradnl"/>
        </w:rPr>
        <w:t xml:space="preserve"> </w:t>
      </w:r>
      <w:r w:rsidRPr="00AB7CA1">
        <w:rPr>
          <w:lang w:val="es-ES_tradnl"/>
        </w:rPr>
        <w:t>o no bajo su dirección, supervisión, coordinación o dependencia, e independientemente de la denominación que se le dé a la obligación contractual.</w:t>
      </w:r>
    </w:p>
    <w:p w14:paraId="6F7B2F82" w14:textId="77777777" w:rsidR="0098530D" w:rsidRDefault="0098530D" w:rsidP="0098530D">
      <w:pPr>
        <w:pStyle w:val="Texto"/>
        <w:spacing w:line="223" w:lineRule="exact"/>
        <w:ind w:left="2736" w:hanging="1152"/>
        <w:rPr>
          <w:lang w:val="es-ES_tradnl"/>
        </w:rPr>
      </w:pPr>
      <w:r w:rsidRPr="00AB7CA1">
        <w:rPr>
          <w:lang w:val="es-ES_tradnl"/>
        </w:rPr>
        <w:tab/>
        <w:t>Por lo anterior, cuando una persona moral del Título II o del Título III de la LISR o una persona física con actividad empresarial, en su calidad de contratante, reciba servicios en los que se ponga personal a su disposición, se entiende que habrá retención cuando las funciones de dicho personal sean aprovechados de manera directa por el contratante o por una parte relacionada de este. Por el contrario, no habrá retención si los servicios prestados corresponden a un servicio en el que el personal del contratista desempeña funciones que son aprovechadas directamente por el propio contratista.</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1AA771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63DA8E6D" w14:textId="77777777" w:rsidR="0098530D" w:rsidRPr="00AB7CA1" w:rsidRDefault="0098530D" w:rsidP="00552502">
            <w:pPr>
              <w:pStyle w:val="Texto"/>
              <w:spacing w:line="223"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5296E3B5" w14:textId="77777777" w:rsidR="0098530D" w:rsidRPr="00AB7CA1" w:rsidRDefault="0098530D" w:rsidP="00552502">
            <w:pPr>
              <w:pStyle w:val="Texto"/>
              <w:spacing w:line="223" w:lineRule="exact"/>
              <w:ind w:firstLine="0"/>
              <w:jc w:val="center"/>
              <w:rPr>
                <w:b/>
              </w:rPr>
            </w:pPr>
            <w:r w:rsidRPr="00AB7CA1">
              <w:rPr>
                <w:b/>
              </w:rPr>
              <w:t>Primer antecedente</w:t>
            </w:r>
          </w:p>
        </w:tc>
      </w:tr>
      <w:tr w:rsidR="0098530D" w:rsidRPr="00AB7CA1" w14:paraId="12AF8735"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3A85DA5" w14:textId="77777777" w:rsidR="0098530D" w:rsidRPr="00AB7CA1" w:rsidRDefault="0098530D" w:rsidP="00552502">
            <w:pPr>
              <w:pStyle w:val="Texto"/>
              <w:spacing w:line="223" w:lineRule="exact"/>
              <w:ind w:firstLine="0"/>
            </w:pPr>
            <w:r w:rsidRPr="00AB7CA1">
              <w:t>Primera Resolución de Modificaciones a la RMF para 2020</w:t>
            </w:r>
          </w:p>
        </w:tc>
        <w:tc>
          <w:tcPr>
            <w:tcW w:w="3237" w:type="pct"/>
            <w:tcBorders>
              <w:top w:val="single" w:sz="6" w:space="0" w:color="auto"/>
              <w:left w:val="single" w:sz="6" w:space="0" w:color="auto"/>
              <w:bottom w:val="single" w:sz="6" w:space="0" w:color="auto"/>
              <w:right w:val="single" w:sz="6" w:space="0" w:color="auto"/>
            </w:tcBorders>
          </w:tcPr>
          <w:p w14:paraId="6D1D28B5" w14:textId="77777777" w:rsidR="0098530D" w:rsidRPr="00AB7CA1" w:rsidRDefault="0098530D" w:rsidP="00552502">
            <w:pPr>
              <w:pStyle w:val="Texto"/>
              <w:spacing w:line="223" w:lineRule="exact"/>
              <w:ind w:firstLine="0"/>
            </w:pPr>
            <w:r w:rsidRPr="00AB7CA1">
              <w:t>Publicada en el DOF el 12 de mayo de 2020, Anexo 7, publicado en el DOF el 14 de mayo de 2020.</w:t>
            </w:r>
          </w:p>
        </w:tc>
      </w:tr>
      <w:tr w:rsidR="0098530D" w:rsidRPr="00AB7CA1" w14:paraId="7D936991"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72E2B054" w14:textId="77777777" w:rsidR="0098530D" w:rsidRPr="00AB7CA1" w:rsidRDefault="0098530D" w:rsidP="00552502">
            <w:pPr>
              <w:pStyle w:val="Texto"/>
              <w:spacing w:line="223" w:lineRule="exact"/>
              <w:ind w:firstLine="0"/>
              <w:jc w:val="center"/>
            </w:pPr>
            <w:r w:rsidRPr="00AB7CA1">
              <w:rPr>
                <w:b/>
              </w:rPr>
              <w:t>Derogación</w:t>
            </w:r>
          </w:p>
        </w:tc>
      </w:tr>
      <w:tr w:rsidR="0098530D" w:rsidRPr="00AB7CA1" w14:paraId="0E9071F9"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1B45E4FA" w14:textId="77777777" w:rsidR="0098530D" w:rsidRPr="00AB7CA1" w:rsidRDefault="0098530D" w:rsidP="00552502">
            <w:pPr>
              <w:pStyle w:val="Texto"/>
              <w:spacing w:line="223" w:lineRule="exact"/>
              <w:ind w:firstLine="0"/>
            </w:pPr>
            <w:r w:rsidRPr="00AB7CA1">
              <w:t>RMF para 2022.</w:t>
            </w:r>
          </w:p>
        </w:tc>
        <w:tc>
          <w:tcPr>
            <w:tcW w:w="3237" w:type="pct"/>
            <w:tcBorders>
              <w:top w:val="single" w:sz="6" w:space="0" w:color="auto"/>
              <w:left w:val="single" w:sz="6" w:space="0" w:color="auto"/>
              <w:bottom w:val="single" w:sz="6" w:space="0" w:color="auto"/>
              <w:right w:val="single" w:sz="6" w:space="0" w:color="auto"/>
            </w:tcBorders>
          </w:tcPr>
          <w:p w14:paraId="636E03B0" w14:textId="77777777" w:rsidR="0098530D" w:rsidRPr="00AB7CA1" w:rsidRDefault="0098530D" w:rsidP="00552502">
            <w:pPr>
              <w:pStyle w:val="Texto"/>
              <w:spacing w:line="223" w:lineRule="exact"/>
              <w:ind w:firstLine="0"/>
            </w:pPr>
            <w:r w:rsidRPr="00AB7CA1">
              <w:t>Publicada en el DOF el 27 de diciembre de 2021. El Anexo 7 publicado en el DOF el 05 de enero de 2022.</w:t>
            </w:r>
          </w:p>
        </w:tc>
      </w:tr>
      <w:tr w:rsidR="0098530D" w:rsidRPr="00AB7CA1" w14:paraId="4C1921AF"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56711AAC" w14:textId="77777777" w:rsidR="0098530D" w:rsidRPr="00AB7CA1" w:rsidRDefault="0098530D" w:rsidP="00552502">
            <w:pPr>
              <w:pStyle w:val="Texto"/>
              <w:spacing w:line="223" w:lineRule="exact"/>
              <w:ind w:firstLine="0"/>
              <w:jc w:val="center"/>
              <w:rPr>
                <w:b/>
              </w:rPr>
            </w:pPr>
            <w:r w:rsidRPr="00AB7CA1">
              <w:rPr>
                <w:b/>
              </w:rPr>
              <w:t>Motivo de la derogación</w:t>
            </w:r>
          </w:p>
        </w:tc>
      </w:tr>
      <w:tr w:rsidR="0098530D" w:rsidRPr="00AB7CA1" w14:paraId="315B02A1"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7B2E114F" w14:textId="77777777" w:rsidR="0098530D" w:rsidRPr="00AB7CA1" w:rsidRDefault="0098530D" w:rsidP="00552502">
            <w:pPr>
              <w:pStyle w:val="Texto"/>
              <w:spacing w:line="223" w:lineRule="exact"/>
              <w:ind w:firstLine="0"/>
            </w:pPr>
            <w:r w:rsidRPr="00AB7CA1">
              <w:t>Se deroga de conformidad con la reforma a la Ley del IVA publicada en el DOF el 23 de abril de 2021, mediante la cual se derogó la fracción IV del artículo 1o.-A, la cual entró en vigor el 1 de septiembre de 2021, ya no existe la obligación de retener el IVA en la prestación de servicios de subcontratación, por lo que se estima que el presente criterio ya no tiene aplicación.</w:t>
            </w:r>
          </w:p>
        </w:tc>
      </w:tr>
    </w:tbl>
    <w:p w14:paraId="0B80A8F1" w14:textId="77777777" w:rsidR="0098530D" w:rsidRPr="00AB7CA1" w:rsidRDefault="0098530D" w:rsidP="0098530D">
      <w:pPr>
        <w:pStyle w:val="Texto"/>
        <w:spacing w:line="223" w:lineRule="exact"/>
        <w:ind w:left="2736" w:hanging="1152"/>
        <w:rPr>
          <w:strike/>
        </w:rPr>
      </w:pPr>
    </w:p>
    <w:p w14:paraId="61DDDFD8" w14:textId="77777777" w:rsidR="0098530D" w:rsidRDefault="0098530D" w:rsidP="0098530D">
      <w:pPr>
        <w:pStyle w:val="Texto"/>
        <w:spacing w:line="223" w:lineRule="exact"/>
        <w:ind w:left="1584" w:hanging="720"/>
        <w:rPr>
          <w:b/>
        </w:rPr>
      </w:pPr>
      <w:r w:rsidRPr="00AB7CA1">
        <w:rPr>
          <w:b/>
        </w:rPr>
        <w:t>IV.</w:t>
      </w:r>
      <w:r w:rsidRPr="00AB7CA1">
        <w:rPr>
          <w:b/>
        </w:rPr>
        <w:tab/>
        <w:t>Criterio de la Ley del IEPS</w:t>
      </w:r>
    </w:p>
    <w:p w14:paraId="17E14773" w14:textId="77777777" w:rsidR="0098530D" w:rsidRDefault="0098530D" w:rsidP="0098530D">
      <w:pPr>
        <w:pStyle w:val="Texto"/>
        <w:spacing w:line="223" w:lineRule="exact"/>
        <w:ind w:left="2736" w:hanging="1152"/>
        <w:rPr>
          <w:b/>
        </w:rPr>
      </w:pPr>
      <w:r w:rsidRPr="00AB7CA1">
        <w:rPr>
          <w:b/>
        </w:rPr>
        <w:t>3/IEPS/N</w:t>
      </w:r>
      <w:r w:rsidRPr="00AB7CA1">
        <w:rPr>
          <w:b/>
        </w:rPr>
        <w:tab/>
      </w:r>
      <w:r w:rsidRPr="00AB7CA1">
        <w:rPr>
          <w:b/>
          <w:lang w:val="es-ES_tradnl"/>
        </w:rPr>
        <w:t>Todos los tipos de gasolina que se importen, pagan el IEPS aún la de 100 a 115 octanos, utilizada solamente para vehículos deportivos especiales de carreras.</w:t>
      </w:r>
    </w:p>
    <w:p w14:paraId="387EC26C" w14:textId="77777777" w:rsidR="0098530D" w:rsidRPr="00AB7CA1" w:rsidRDefault="0098530D" w:rsidP="0098530D">
      <w:pPr>
        <w:pStyle w:val="Texto"/>
        <w:spacing w:line="223" w:lineRule="exact"/>
        <w:ind w:left="2736" w:hanging="1152"/>
        <w:rPr>
          <w:lang w:val="es-ES_tradnl"/>
        </w:rPr>
      </w:pPr>
      <w:r w:rsidRPr="00AB7CA1">
        <w:tab/>
      </w:r>
      <w:r w:rsidRPr="00AB7CA1">
        <w:rPr>
          <w:lang w:val="es-ES_tradnl"/>
        </w:rPr>
        <w:t>El artículo 2o., fracción I, inciso D) de la Ley del IEPS, estipula que pagarán el IEPS todas las personas físicas o morales que enajenen o importen, en definitiva, a territorio nacional gasolinas.</w:t>
      </w:r>
    </w:p>
    <w:p w14:paraId="71F57330" w14:textId="77777777" w:rsidR="0098530D" w:rsidRPr="00AB7CA1" w:rsidRDefault="0098530D" w:rsidP="0098530D">
      <w:pPr>
        <w:pStyle w:val="Texto"/>
        <w:spacing w:line="223" w:lineRule="exact"/>
        <w:ind w:left="2736" w:hanging="1152"/>
      </w:pPr>
      <w:r w:rsidRPr="00AB7CA1">
        <w:rPr>
          <w:lang w:val="es-ES_tradnl"/>
        </w:rPr>
        <w:tab/>
      </w:r>
      <w:r w:rsidRPr="00AB7CA1">
        <w:t>El artículo 3o., fracción IX de la ley del citado impuesto, establece que se entiende por gasolina, el combustible líquido e incoloro sin plomo, que se obtiene del proceso de refinación del petróleo crudo al fraccionarse típicamente a temperaturas entre los 30° y los 225° Celsius (en destilación fraccionada), formado por una mezcla de hidrocarburos alifáticos volátiles, principalmente parafinas ramificadas, aromáticos, naftenos y olefinas, y que cumple con especificaciones para ser usado en motores de combustión interna mediante ignición por una chispa eléctrica; es decir, la ley no distingue en cuanto a las diferentes clases de gasolinas que existen.</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0FDBF7CE"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7050DCFD" w14:textId="77777777" w:rsidR="0098530D" w:rsidRPr="00AB7CA1" w:rsidRDefault="0098530D" w:rsidP="00552502">
            <w:pPr>
              <w:pStyle w:val="Texto"/>
              <w:spacing w:after="84"/>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693ACD1E" w14:textId="77777777" w:rsidR="0098530D" w:rsidRPr="00AB7CA1" w:rsidRDefault="0098530D" w:rsidP="00552502">
            <w:pPr>
              <w:pStyle w:val="Texto"/>
              <w:spacing w:after="84"/>
              <w:ind w:firstLine="0"/>
              <w:jc w:val="center"/>
              <w:rPr>
                <w:b/>
              </w:rPr>
            </w:pPr>
            <w:r w:rsidRPr="00AB7CA1">
              <w:rPr>
                <w:b/>
              </w:rPr>
              <w:t>Primer antecedente</w:t>
            </w:r>
          </w:p>
        </w:tc>
      </w:tr>
      <w:tr w:rsidR="0098530D" w:rsidRPr="00AB7CA1" w14:paraId="278A234C"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4BE4FA3" w14:textId="77777777" w:rsidR="0098530D" w:rsidRPr="00AB7CA1" w:rsidRDefault="0098530D" w:rsidP="00552502">
            <w:pPr>
              <w:pStyle w:val="Texto"/>
              <w:spacing w:after="84"/>
              <w:ind w:firstLine="0"/>
            </w:pPr>
            <w:r w:rsidRPr="00AB7CA1">
              <w:t>32/2003/IEPS</w:t>
            </w:r>
          </w:p>
        </w:tc>
        <w:tc>
          <w:tcPr>
            <w:tcW w:w="3237" w:type="pct"/>
            <w:tcBorders>
              <w:top w:val="single" w:sz="6" w:space="0" w:color="auto"/>
              <w:left w:val="single" w:sz="6" w:space="0" w:color="auto"/>
              <w:bottom w:val="single" w:sz="6" w:space="0" w:color="auto"/>
              <w:right w:val="single" w:sz="6" w:space="0" w:color="auto"/>
            </w:tcBorders>
          </w:tcPr>
          <w:p w14:paraId="1401E3BA" w14:textId="77777777" w:rsidR="0098530D" w:rsidRPr="00AB7CA1" w:rsidRDefault="0098530D" w:rsidP="00552502">
            <w:pPr>
              <w:pStyle w:val="Texto"/>
              <w:spacing w:after="84"/>
              <w:ind w:firstLine="0"/>
            </w:pPr>
            <w:r w:rsidRPr="00AB7CA1">
              <w:t>Compilación de Criterios Normativos, Boletín Electrónico octubre 2003, Tomo III.</w:t>
            </w:r>
          </w:p>
        </w:tc>
      </w:tr>
      <w:tr w:rsidR="0098530D" w:rsidRPr="00AB7CA1" w14:paraId="3046B173"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7978F472" w14:textId="77777777" w:rsidR="0098530D" w:rsidRPr="00AB7CA1" w:rsidRDefault="0098530D" w:rsidP="00552502">
            <w:pPr>
              <w:pStyle w:val="Texto"/>
              <w:spacing w:after="84"/>
              <w:ind w:firstLine="0"/>
              <w:jc w:val="center"/>
              <w:rPr>
                <w:b/>
              </w:rPr>
            </w:pPr>
            <w:r w:rsidRPr="00AB7CA1">
              <w:rPr>
                <w:b/>
              </w:rPr>
              <w:t>Derogación</w:t>
            </w:r>
          </w:p>
        </w:tc>
      </w:tr>
      <w:tr w:rsidR="0098530D" w:rsidRPr="00AB7CA1" w14:paraId="62DAF95D"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23126252" w14:textId="77777777" w:rsidR="0098530D" w:rsidRPr="00AB7CA1" w:rsidRDefault="0098530D" w:rsidP="00552502">
            <w:pPr>
              <w:pStyle w:val="Texto"/>
              <w:spacing w:after="84"/>
              <w:ind w:firstLine="0"/>
            </w:pPr>
            <w:r w:rsidRPr="00AB7CA1">
              <w:lastRenderedPageBreak/>
              <w:t>RMF para 2016</w:t>
            </w:r>
          </w:p>
        </w:tc>
        <w:tc>
          <w:tcPr>
            <w:tcW w:w="3237" w:type="pct"/>
            <w:tcBorders>
              <w:top w:val="single" w:sz="6" w:space="0" w:color="auto"/>
              <w:left w:val="single" w:sz="6" w:space="0" w:color="auto"/>
              <w:bottom w:val="single" w:sz="6" w:space="0" w:color="auto"/>
              <w:right w:val="single" w:sz="6" w:space="0" w:color="auto"/>
            </w:tcBorders>
          </w:tcPr>
          <w:p w14:paraId="13529997" w14:textId="77777777" w:rsidR="0098530D" w:rsidRPr="00AB7CA1" w:rsidRDefault="0098530D" w:rsidP="00552502">
            <w:pPr>
              <w:pStyle w:val="Texto"/>
              <w:spacing w:after="84"/>
              <w:ind w:firstLine="0"/>
              <w:rPr>
                <w:b/>
              </w:rPr>
            </w:pPr>
            <w:r w:rsidRPr="00AB7CA1">
              <w:t>Publicada en el DOF el 23 de diciembre de 2015. Anexo 7 publicado en DOF el 12 de enero de 2016.</w:t>
            </w:r>
          </w:p>
        </w:tc>
      </w:tr>
      <w:tr w:rsidR="0098530D" w:rsidRPr="00AB7CA1" w14:paraId="00410638"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059D57E1" w14:textId="77777777" w:rsidR="0098530D" w:rsidRPr="00AB7CA1" w:rsidRDefault="0098530D" w:rsidP="00552502">
            <w:pPr>
              <w:pStyle w:val="Texto"/>
              <w:spacing w:after="84"/>
              <w:ind w:firstLine="0"/>
              <w:jc w:val="center"/>
              <w:rPr>
                <w:b/>
              </w:rPr>
            </w:pPr>
            <w:r w:rsidRPr="00AB7CA1">
              <w:rPr>
                <w:b/>
              </w:rPr>
              <w:t>Motivo de la derogación</w:t>
            </w:r>
          </w:p>
        </w:tc>
      </w:tr>
      <w:tr w:rsidR="0098530D" w:rsidRPr="00AB7CA1" w14:paraId="4082090F"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59983DA7" w14:textId="77777777" w:rsidR="0098530D" w:rsidRPr="00AB7CA1" w:rsidRDefault="0098530D" w:rsidP="00552502">
            <w:pPr>
              <w:pStyle w:val="Texto"/>
              <w:spacing w:after="84"/>
              <w:ind w:firstLine="0"/>
            </w:pPr>
            <w:r w:rsidRPr="00AB7CA1">
              <w:t>Se deroga derivado de la reforma del artículo 2o., fracción I, inciso D), de la Ley del IEPS, publicada en DOF el 18 de noviembre de 2015.</w:t>
            </w:r>
          </w:p>
        </w:tc>
      </w:tr>
    </w:tbl>
    <w:p w14:paraId="57A2610F" w14:textId="77777777" w:rsidR="0098530D" w:rsidRPr="00AB7CA1" w:rsidRDefault="0098530D" w:rsidP="0098530D">
      <w:pPr>
        <w:pStyle w:val="Texto"/>
        <w:spacing w:after="84"/>
        <w:ind w:left="1584" w:hanging="720"/>
        <w:rPr>
          <w:strike/>
        </w:rPr>
      </w:pPr>
    </w:p>
    <w:p w14:paraId="0B7269C6" w14:textId="77777777" w:rsidR="0098530D" w:rsidRDefault="0098530D" w:rsidP="0098530D">
      <w:pPr>
        <w:pStyle w:val="Texto"/>
        <w:spacing w:after="84"/>
        <w:ind w:left="1584" w:hanging="720"/>
        <w:rPr>
          <w:b/>
        </w:rPr>
      </w:pPr>
      <w:r w:rsidRPr="00AB7CA1">
        <w:rPr>
          <w:b/>
        </w:rPr>
        <w:t>V.</w:t>
      </w:r>
      <w:r w:rsidRPr="00AB7CA1">
        <w:rPr>
          <w:b/>
        </w:rPr>
        <w:tab/>
        <w:t>Criterio de la LIF</w:t>
      </w:r>
    </w:p>
    <w:p w14:paraId="3F5084EE" w14:textId="77777777" w:rsidR="0098530D" w:rsidRDefault="0098530D" w:rsidP="0098530D">
      <w:pPr>
        <w:pStyle w:val="Texto"/>
        <w:spacing w:after="84"/>
        <w:ind w:left="2736" w:hanging="1152"/>
        <w:rPr>
          <w:b/>
        </w:rPr>
      </w:pPr>
      <w:r w:rsidRPr="00AB7CA1">
        <w:rPr>
          <w:b/>
        </w:rPr>
        <w:t>1/LIF/N</w:t>
      </w:r>
      <w:r w:rsidRPr="00AB7CA1">
        <w:rPr>
          <w:b/>
        </w:rPr>
        <w:tab/>
        <w:t>Créditos fiscales previamente cubiertos e impugnados.</w:t>
      </w:r>
    </w:p>
    <w:p w14:paraId="0F087A8D" w14:textId="77777777" w:rsidR="0098530D" w:rsidRPr="00AB7CA1" w:rsidRDefault="0098530D" w:rsidP="0098530D">
      <w:pPr>
        <w:pStyle w:val="Texto"/>
        <w:spacing w:after="84"/>
        <w:ind w:left="2736" w:hanging="1152"/>
      </w:pPr>
      <w:r w:rsidRPr="00AB7CA1">
        <w:rPr>
          <w:b/>
        </w:rPr>
        <w:tab/>
      </w:r>
      <w:r w:rsidRPr="00AB7CA1">
        <w:t>El Artículo Tercero Transitorio de la LIF para el ejercicio fiscal de 2013 otorga el beneficio de la condonación total o parcial de los créditos fiscales que cumplan con los requisitos que la misma disposición señala. En su fracción IV, dispone que no se podrán condonar créditos fiscales pagados, con lo cual dicha disposición impide que un crédito fiscal que ya hubiese sido extinguido, sea susceptible de condonarse; por su parte, la fracción III permite la condonación de créditos fiscales impugnados, siempre que a la fecha de presentación de la solicitud de condonación, el medio de defensa concluya mediante resolución firme, o bien, se acompañe el acuse de presentación del desistimiento.</w:t>
      </w:r>
    </w:p>
    <w:p w14:paraId="53522FC4" w14:textId="77777777" w:rsidR="0098530D" w:rsidRPr="00AB7CA1" w:rsidRDefault="0098530D" w:rsidP="0098530D">
      <w:pPr>
        <w:pStyle w:val="Texto"/>
        <w:spacing w:after="84"/>
        <w:ind w:left="2736" w:hanging="1152"/>
      </w:pPr>
      <w:r w:rsidRPr="00AB7CA1">
        <w:tab/>
        <w:t>El artículo 65 del CFF señala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para su notificación.</w:t>
      </w:r>
    </w:p>
    <w:p w14:paraId="12FF430E" w14:textId="77777777" w:rsidR="0098530D" w:rsidRPr="00AB7CA1" w:rsidRDefault="0098530D" w:rsidP="0098530D">
      <w:pPr>
        <w:pStyle w:val="Texto"/>
        <w:spacing w:after="84"/>
        <w:ind w:left="2736" w:hanging="1152"/>
      </w:pPr>
      <w:r w:rsidRPr="00AB7CA1">
        <w:tab/>
        <w:t>Asimismo, el numeral 145 del CFF señala que las autoridades fiscales exigirán el pago de los créditos fiscales que no hubieren sido cubiertos o garantizados, dentro de los plazos señalados por la Ley, mediante el procedimiento administrativo de ejecución.</w:t>
      </w:r>
    </w:p>
    <w:p w14:paraId="65BC232F" w14:textId="77777777" w:rsidR="0098530D" w:rsidRPr="00AB7CA1" w:rsidRDefault="0098530D" w:rsidP="0098530D">
      <w:pPr>
        <w:pStyle w:val="Texto"/>
        <w:spacing w:after="84"/>
        <w:ind w:left="2736" w:hanging="1152"/>
      </w:pPr>
      <w:r w:rsidRPr="00AB7CA1">
        <w:tab/>
        <w:t>En ese sentido, en los casos en los cuales los contribuyentes, a fin de evitar que se genere actualización y recargos de un crédito fiscal, así como para suspender el procedimiento administrativo de ejecución, entreguen una cantidad similar o equivalente al monto del crédito fiscal determinado a fin de asegurar el interés fiscal; no se considerará extinguida la deuda tributaria por pago definitivo, cuando este no se ha consentido por el contribuyente al haber interpuesto medios de defensa en contra de su determinación y, por ende, aún no se encuentre firme.</w:t>
      </w:r>
    </w:p>
    <w:p w14:paraId="7D9EBDA1" w14:textId="77777777" w:rsidR="0098530D" w:rsidRPr="00AB7CA1" w:rsidRDefault="0098530D" w:rsidP="0098530D">
      <w:pPr>
        <w:pStyle w:val="Texto"/>
        <w:spacing w:after="84"/>
        <w:ind w:left="2736" w:hanging="1152"/>
      </w:pPr>
      <w:r w:rsidRPr="00AB7CA1">
        <w:tab/>
        <w:t>Por lo anterior, al no considerarse extinguidos los créditos fiscales, en virtud de que los mismos se encontraban impugnados y, con posterioridad, los contribuyentes se hayan desistido de dicho medio de defensa para solicitar la condonación de los créditos fiscales a que se refiere el Artículo Tercero Transitorio de la LIF para el ejercicio fiscal de 2013 y esta haya sido procedente, resulta adecuado que la cantidad que el contribuyente entregó sea susceptible de reintegro.</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7A18126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4DDDB77C" w14:textId="77777777" w:rsidR="0098530D" w:rsidRPr="00AB7CA1" w:rsidRDefault="0098530D" w:rsidP="00552502">
            <w:pPr>
              <w:pStyle w:val="Texto"/>
              <w:spacing w:after="84"/>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4DD4DC66" w14:textId="77777777" w:rsidR="0098530D" w:rsidRPr="00AB7CA1" w:rsidRDefault="0098530D" w:rsidP="00552502">
            <w:pPr>
              <w:pStyle w:val="Texto"/>
              <w:spacing w:after="84"/>
              <w:ind w:firstLine="0"/>
              <w:jc w:val="center"/>
              <w:rPr>
                <w:b/>
              </w:rPr>
            </w:pPr>
            <w:r w:rsidRPr="00AB7CA1">
              <w:rPr>
                <w:b/>
              </w:rPr>
              <w:t>Primer antecedente</w:t>
            </w:r>
          </w:p>
        </w:tc>
      </w:tr>
      <w:tr w:rsidR="0098530D" w:rsidRPr="00AB7CA1" w14:paraId="220D077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088752CA" w14:textId="77777777" w:rsidR="0098530D" w:rsidRPr="00AB7CA1" w:rsidRDefault="0098530D" w:rsidP="00552502">
            <w:pPr>
              <w:pStyle w:val="Texto"/>
              <w:spacing w:after="84"/>
              <w:ind w:firstLine="0"/>
            </w:pPr>
            <w:r w:rsidRPr="00AB7CA1">
              <w:t>2014</w:t>
            </w:r>
          </w:p>
        </w:tc>
        <w:tc>
          <w:tcPr>
            <w:tcW w:w="3237" w:type="pct"/>
            <w:tcBorders>
              <w:top w:val="single" w:sz="6" w:space="0" w:color="auto"/>
              <w:left w:val="single" w:sz="6" w:space="0" w:color="auto"/>
              <w:bottom w:val="single" w:sz="6" w:space="0" w:color="auto"/>
              <w:right w:val="single" w:sz="6" w:space="0" w:color="auto"/>
            </w:tcBorders>
          </w:tcPr>
          <w:p w14:paraId="4A7FC09C" w14:textId="77777777" w:rsidR="0098530D" w:rsidRPr="00AB7CA1" w:rsidRDefault="0098530D" w:rsidP="00552502">
            <w:pPr>
              <w:pStyle w:val="Texto"/>
              <w:spacing w:after="84"/>
              <w:ind w:firstLine="0"/>
            </w:pPr>
            <w:r w:rsidRPr="00AB7CA1">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1/2014/LIF.</w:t>
            </w:r>
          </w:p>
        </w:tc>
      </w:tr>
      <w:tr w:rsidR="0098530D" w:rsidRPr="00AB7CA1" w14:paraId="234A83D1"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68E48EE3" w14:textId="77777777" w:rsidR="0098530D" w:rsidRPr="00AB7CA1" w:rsidRDefault="0098530D" w:rsidP="00552502">
            <w:pPr>
              <w:pStyle w:val="Texto"/>
              <w:spacing w:after="80" w:line="211" w:lineRule="exact"/>
              <w:ind w:firstLine="0"/>
              <w:jc w:val="center"/>
              <w:rPr>
                <w:b/>
              </w:rPr>
            </w:pPr>
            <w:r w:rsidRPr="00AB7CA1">
              <w:rPr>
                <w:b/>
              </w:rPr>
              <w:t>Derogación</w:t>
            </w:r>
          </w:p>
        </w:tc>
      </w:tr>
      <w:tr w:rsidR="0098530D" w:rsidRPr="00AB7CA1" w14:paraId="607D4B18"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7CAFAB3C" w14:textId="77777777" w:rsidR="0098530D" w:rsidRPr="00AB7CA1" w:rsidRDefault="0098530D" w:rsidP="00552502">
            <w:pPr>
              <w:pStyle w:val="Texto"/>
              <w:spacing w:after="80" w:line="211" w:lineRule="exact"/>
              <w:ind w:firstLine="0"/>
            </w:pPr>
            <w:r w:rsidRPr="00AB7CA1">
              <w:lastRenderedPageBreak/>
              <w:t>RMF para 2022</w:t>
            </w:r>
          </w:p>
        </w:tc>
        <w:tc>
          <w:tcPr>
            <w:tcW w:w="3237" w:type="pct"/>
            <w:tcBorders>
              <w:top w:val="single" w:sz="6" w:space="0" w:color="auto"/>
              <w:left w:val="single" w:sz="6" w:space="0" w:color="auto"/>
              <w:bottom w:val="single" w:sz="6" w:space="0" w:color="auto"/>
              <w:right w:val="single" w:sz="6" w:space="0" w:color="auto"/>
            </w:tcBorders>
          </w:tcPr>
          <w:p w14:paraId="7A49137B" w14:textId="77777777" w:rsidR="0098530D" w:rsidRPr="00AB7CA1" w:rsidRDefault="0098530D" w:rsidP="00552502">
            <w:pPr>
              <w:pStyle w:val="Texto"/>
              <w:spacing w:after="80" w:line="211" w:lineRule="exact"/>
              <w:ind w:firstLine="0"/>
              <w:rPr>
                <w:b/>
              </w:rPr>
            </w:pPr>
            <w:r w:rsidRPr="00AB7CA1">
              <w:t>Publicada en el DOF el 27 de diciembre de 2021.</w:t>
            </w:r>
            <w:r w:rsidRPr="00AB7CA1">
              <w:rPr>
                <w:b/>
              </w:rPr>
              <w:t xml:space="preserve"> </w:t>
            </w:r>
            <w:r w:rsidRPr="00AB7CA1">
              <w:t>Anexo 7 publicado en el DOF el 05 de enero de 2022.</w:t>
            </w:r>
          </w:p>
        </w:tc>
      </w:tr>
      <w:tr w:rsidR="0098530D" w:rsidRPr="00AB7CA1" w14:paraId="1C69E2B9"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41B6C9D6" w14:textId="77777777" w:rsidR="0098530D" w:rsidRPr="00AB7CA1" w:rsidRDefault="0098530D" w:rsidP="00552502">
            <w:pPr>
              <w:pStyle w:val="Texto"/>
              <w:spacing w:after="80" w:line="211" w:lineRule="exact"/>
              <w:ind w:firstLine="0"/>
              <w:jc w:val="center"/>
              <w:rPr>
                <w:b/>
              </w:rPr>
            </w:pPr>
            <w:r w:rsidRPr="00AB7CA1">
              <w:rPr>
                <w:b/>
              </w:rPr>
              <w:t>Motivo de la derogación</w:t>
            </w:r>
          </w:p>
        </w:tc>
      </w:tr>
      <w:tr w:rsidR="0098530D" w:rsidRPr="00AB7CA1" w14:paraId="12E8ED18"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252B8DBA" w14:textId="77777777" w:rsidR="0098530D" w:rsidRPr="00AB7CA1" w:rsidRDefault="0098530D" w:rsidP="00552502">
            <w:pPr>
              <w:pStyle w:val="Texto"/>
              <w:spacing w:after="80" w:line="211" w:lineRule="exact"/>
              <w:ind w:firstLine="0"/>
            </w:pPr>
            <w:r w:rsidRPr="00AB7CA1">
              <w:t>Se deroga en virtud de que la Ley de Ingresos vigente ya no prevé el supuesto mencionado en este criterio, por lo cual, ya no es necesario el contenido del criterio, ya que se regulaba el contenido de una disposición transitoria de la LIF de 2013.</w:t>
            </w:r>
          </w:p>
        </w:tc>
      </w:tr>
    </w:tbl>
    <w:p w14:paraId="0CDC6101" w14:textId="77777777" w:rsidR="0098530D" w:rsidRPr="00AB7CA1" w:rsidRDefault="0098530D" w:rsidP="0098530D">
      <w:pPr>
        <w:pStyle w:val="Texto"/>
        <w:spacing w:after="80" w:line="211" w:lineRule="exact"/>
        <w:ind w:left="2736" w:hanging="1152"/>
        <w:rPr>
          <w:strike/>
        </w:rPr>
      </w:pPr>
    </w:p>
    <w:p w14:paraId="7D820813" w14:textId="77777777" w:rsidR="0098530D" w:rsidRDefault="0098530D" w:rsidP="0098530D">
      <w:pPr>
        <w:pStyle w:val="Texto"/>
        <w:spacing w:after="80" w:line="211" w:lineRule="exact"/>
        <w:ind w:left="1584" w:hanging="720"/>
        <w:rPr>
          <w:b/>
        </w:rPr>
      </w:pPr>
      <w:r w:rsidRPr="00AB7CA1">
        <w:rPr>
          <w:b/>
        </w:rPr>
        <w:t>VI.</w:t>
      </w:r>
      <w:r w:rsidRPr="00AB7CA1">
        <w:rPr>
          <w:b/>
        </w:rPr>
        <w:tab/>
        <w:t>Criterio de la LISH</w:t>
      </w:r>
    </w:p>
    <w:p w14:paraId="007CC142" w14:textId="77777777" w:rsidR="0098530D" w:rsidRDefault="0098530D" w:rsidP="0098530D">
      <w:pPr>
        <w:pStyle w:val="Texto"/>
        <w:spacing w:after="80" w:line="211" w:lineRule="exact"/>
        <w:ind w:left="2736" w:hanging="1152"/>
        <w:rPr>
          <w:b/>
        </w:rPr>
      </w:pPr>
      <w:r w:rsidRPr="00AB7CA1">
        <w:rPr>
          <w:b/>
        </w:rPr>
        <w:t>2/LISH/N</w:t>
      </w:r>
      <w:r w:rsidRPr="00AB7CA1">
        <w:rPr>
          <w:b/>
        </w:rPr>
        <w:tab/>
        <w:t>Contraprestaciones a favor de los contratistas en los contratos para la exploración y extracción de hidrocarburos. Momento de acumulación para los efectos del ISR.</w:t>
      </w:r>
    </w:p>
    <w:p w14:paraId="4D0EBA4C" w14:textId="77777777" w:rsidR="0098530D" w:rsidRPr="00AB7CA1" w:rsidRDefault="0098530D" w:rsidP="0098530D">
      <w:pPr>
        <w:pStyle w:val="Texto"/>
        <w:spacing w:after="80" w:line="211" w:lineRule="exact"/>
        <w:ind w:left="2736" w:hanging="1152"/>
      </w:pPr>
      <w:r w:rsidRPr="00AB7CA1">
        <w:rPr>
          <w:b/>
        </w:rPr>
        <w:tab/>
      </w:r>
      <w:r w:rsidRPr="00AB7CA1">
        <w:t>El artículo 29, primer párrafo de la LISH prevé que las contraprestaciones a favor del contratista, se pagarán una vez que este obtenga la producción contractual, por lo que en tanto no exista dicha producción, bajo ninguna circunstancia serán exigibles las contraprestaciones a favor del contratista ni se le otorgará anticipo alguno.</w:t>
      </w:r>
    </w:p>
    <w:p w14:paraId="490DCDBA" w14:textId="77777777" w:rsidR="0098530D" w:rsidRPr="00AB7CA1" w:rsidRDefault="0098530D" w:rsidP="0098530D">
      <w:pPr>
        <w:pStyle w:val="Texto"/>
        <w:spacing w:after="80" w:line="211" w:lineRule="exact"/>
        <w:ind w:left="2736" w:hanging="1152"/>
      </w:pPr>
      <w:r w:rsidRPr="00AB7CA1">
        <w:tab/>
        <w:t>El artículo 16, primer párrafo, primera oración de la Ley del ISR dispone que las personas morales residentes en el país, incluida la asociación en participación, acumularán la totalidad de los ingresos en efectivo, en bienes, en servicio, en crédito o de cualquier otro tipo, que obtengan en el ejercicio, inclusive los provenientes de sus establecimientos en el extranjero.</w:t>
      </w:r>
    </w:p>
    <w:p w14:paraId="319A2EE4" w14:textId="77777777" w:rsidR="0098530D" w:rsidRPr="00AB7CA1" w:rsidRDefault="0098530D" w:rsidP="0098530D">
      <w:pPr>
        <w:pStyle w:val="Texto"/>
        <w:spacing w:after="80" w:line="211" w:lineRule="exact"/>
        <w:ind w:left="2736" w:hanging="1152"/>
      </w:pPr>
      <w:r w:rsidRPr="00AB7CA1">
        <w:tab/>
        <w:t>Para tales efectos, tratándose de enajenación de bienes o prestación de servicios, el artículo 17, fracción I de la Ley del ISR considera que los ingresos se obtienen, en aquellos casos no previstos en otros artículos de dicha ley, cuando se dé cualquiera de los supuestos establecidos en la fracción referida, el que ocurra primero.</w:t>
      </w:r>
    </w:p>
    <w:p w14:paraId="03059DE6" w14:textId="77777777" w:rsidR="0098530D" w:rsidRPr="00AB7CA1" w:rsidRDefault="0098530D" w:rsidP="0098530D">
      <w:pPr>
        <w:pStyle w:val="Texto"/>
        <w:spacing w:after="80" w:line="211" w:lineRule="exact"/>
        <w:ind w:left="2736" w:hanging="1152"/>
      </w:pPr>
      <w:r w:rsidRPr="00AB7CA1">
        <w:tab/>
        <w:t>Al respecto, ni la Ley del ISR o la LISH prevén un supuesto particular que permita considerar que los ingresos derivados de las contraprestaciones aludidas se obtienen únicamente en el momento en que efectivamente se cobren dichas contraprestaciones.</w:t>
      </w:r>
    </w:p>
    <w:p w14:paraId="09873575" w14:textId="77777777" w:rsidR="0098530D" w:rsidRPr="00AB7CA1" w:rsidRDefault="0098530D" w:rsidP="0098530D">
      <w:pPr>
        <w:pStyle w:val="Texto"/>
        <w:spacing w:after="80" w:line="211" w:lineRule="exact"/>
        <w:ind w:left="2736" w:hanging="1152"/>
      </w:pPr>
      <w:r w:rsidRPr="00AB7CA1">
        <w:tab/>
        <w:t>Por lo tanto, los ingresos derivados de las contraprestaciones a favor del contratista en los contratos para la exploración y extracción de hidrocarburos previstos en la Ley de Hidrocarburos, deberán acumularse en las fechas que establece el artículo 17, fracción I de la Ley del ISR.</w:t>
      </w:r>
    </w:p>
    <w:tbl>
      <w:tblPr>
        <w:tblW w:w="3408" w:type="pct"/>
        <w:tblInd w:w="2862" w:type="dxa"/>
        <w:tblLayout w:type="fixed"/>
        <w:tblCellMar>
          <w:left w:w="72" w:type="dxa"/>
          <w:right w:w="72" w:type="dxa"/>
        </w:tblCellMar>
        <w:tblLook w:val="0000" w:firstRow="0" w:lastRow="0" w:firstColumn="0" w:lastColumn="0" w:noHBand="0" w:noVBand="0"/>
      </w:tblPr>
      <w:tblGrid>
        <w:gridCol w:w="2120"/>
        <w:gridCol w:w="3893"/>
      </w:tblGrid>
      <w:tr w:rsidR="0098530D" w:rsidRPr="00AB7CA1" w14:paraId="2B2B8FEF"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shd w:val="pct12" w:color="auto" w:fill="auto"/>
            <w:noWrap/>
          </w:tcPr>
          <w:p w14:paraId="231A8620" w14:textId="77777777" w:rsidR="0098530D" w:rsidRPr="00AB7CA1" w:rsidRDefault="0098530D" w:rsidP="00552502">
            <w:pPr>
              <w:pStyle w:val="Texto"/>
              <w:spacing w:after="80" w:line="211" w:lineRule="exact"/>
              <w:ind w:firstLine="0"/>
              <w:jc w:val="center"/>
              <w:rPr>
                <w:b/>
              </w:rPr>
            </w:pPr>
            <w:r w:rsidRPr="00AB7CA1">
              <w:rPr>
                <w:b/>
              </w:rPr>
              <w:t>Origen</w:t>
            </w:r>
          </w:p>
        </w:tc>
        <w:tc>
          <w:tcPr>
            <w:tcW w:w="3237" w:type="pct"/>
            <w:tcBorders>
              <w:top w:val="single" w:sz="6" w:space="0" w:color="auto"/>
              <w:left w:val="single" w:sz="6" w:space="0" w:color="auto"/>
              <w:bottom w:val="single" w:sz="6" w:space="0" w:color="auto"/>
              <w:right w:val="single" w:sz="6" w:space="0" w:color="auto"/>
            </w:tcBorders>
            <w:shd w:val="pct12" w:color="auto" w:fill="auto"/>
          </w:tcPr>
          <w:p w14:paraId="4B984212" w14:textId="77777777" w:rsidR="0098530D" w:rsidRPr="00AB7CA1" w:rsidRDefault="0098530D" w:rsidP="00552502">
            <w:pPr>
              <w:pStyle w:val="Texto"/>
              <w:spacing w:after="80" w:line="211" w:lineRule="exact"/>
              <w:ind w:firstLine="0"/>
              <w:jc w:val="center"/>
              <w:rPr>
                <w:b/>
              </w:rPr>
            </w:pPr>
            <w:r w:rsidRPr="00AB7CA1">
              <w:rPr>
                <w:b/>
              </w:rPr>
              <w:t>Primer antecedente</w:t>
            </w:r>
          </w:p>
        </w:tc>
      </w:tr>
      <w:tr w:rsidR="0098530D" w:rsidRPr="00AB7CA1" w14:paraId="189ACA4C"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413D8875" w14:textId="77777777" w:rsidR="0098530D" w:rsidRPr="00AB7CA1" w:rsidRDefault="0098530D" w:rsidP="00552502">
            <w:pPr>
              <w:pStyle w:val="Texto"/>
              <w:spacing w:after="80" w:line="211" w:lineRule="exact"/>
              <w:ind w:firstLine="0"/>
            </w:pPr>
            <w:r w:rsidRPr="00AB7CA1">
              <w:t>Cuarta Resolución de Modificaciones a la RMF para 2015</w:t>
            </w:r>
          </w:p>
        </w:tc>
        <w:tc>
          <w:tcPr>
            <w:tcW w:w="3237" w:type="pct"/>
            <w:tcBorders>
              <w:top w:val="single" w:sz="6" w:space="0" w:color="auto"/>
              <w:left w:val="single" w:sz="6" w:space="0" w:color="auto"/>
              <w:bottom w:val="single" w:sz="6" w:space="0" w:color="auto"/>
              <w:right w:val="single" w:sz="6" w:space="0" w:color="auto"/>
            </w:tcBorders>
          </w:tcPr>
          <w:p w14:paraId="70A8D907" w14:textId="77777777" w:rsidR="0098530D" w:rsidRPr="00AB7CA1" w:rsidRDefault="0098530D" w:rsidP="00552502">
            <w:pPr>
              <w:pStyle w:val="Texto"/>
              <w:spacing w:after="80" w:line="211" w:lineRule="exact"/>
              <w:ind w:firstLine="0"/>
            </w:pPr>
            <w:r w:rsidRPr="00AB7CA1">
              <w:t>Publicada en el DOF el 29 de septiembre de 2015, Anexo 7, publicado en la misma fecha de la Modificación.</w:t>
            </w:r>
          </w:p>
        </w:tc>
      </w:tr>
      <w:tr w:rsidR="0098530D" w:rsidRPr="00AB7CA1" w14:paraId="548916CD"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054F76B1" w14:textId="77777777" w:rsidR="0098530D" w:rsidRPr="00AB7CA1" w:rsidRDefault="0098530D" w:rsidP="00552502">
            <w:pPr>
              <w:pStyle w:val="Texto"/>
              <w:spacing w:after="80" w:line="211" w:lineRule="exact"/>
              <w:ind w:firstLine="0"/>
              <w:jc w:val="center"/>
            </w:pPr>
            <w:r w:rsidRPr="00AB7CA1">
              <w:rPr>
                <w:b/>
              </w:rPr>
              <w:t>Derogación</w:t>
            </w:r>
          </w:p>
        </w:tc>
      </w:tr>
      <w:tr w:rsidR="0098530D" w:rsidRPr="00AB7CA1" w14:paraId="599317DA" w14:textId="77777777" w:rsidTr="00552502">
        <w:tblPrEx>
          <w:tblCellMar>
            <w:top w:w="0" w:type="dxa"/>
            <w:bottom w:w="0" w:type="dxa"/>
          </w:tblCellMar>
        </w:tblPrEx>
        <w:trPr>
          <w:cantSplit/>
          <w:trHeight w:val="20"/>
        </w:trPr>
        <w:tc>
          <w:tcPr>
            <w:tcW w:w="1763" w:type="pct"/>
            <w:tcBorders>
              <w:top w:val="single" w:sz="6" w:space="0" w:color="auto"/>
              <w:left w:val="single" w:sz="6" w:space="0" w:color="auto"/>
              <w:bottom w:val="single" w:sz="6" w:space="0" w:color="auto"/>
              <w:right w:val="single" w:sz="6" w:space="0" w:color="auto"/>
            </w:tcBorders>
          </w:tcPr>
          <w:p w14:paraId="2A3CA0A6" w14:textId="77777777" w:rsidR="0098530D" w:rsidRPr="00AB7CA1" w:rsidRDefault="0098530D" w:rsidP="00552502">
            <w:pPr>
              <w:pStyle w:val="Texto"/>
              <w:spacing w:after="80" w:line="211" w:lineRule="exact"/>
              <w:ind w:firstLine="0"/>
            </w:pPr>
            <w:r w:rsidRPr="00AB7CA1">
              <w:t>RMF para 2017</w:t>
            </w:r>
          </w:p>
        </w:tc>
        <w:tc>
          <w:tcPr>
            <w:tcW w:w="3237" w:type="pct"/>
            <w:tcBorders>
              <w:top w:val="single" w:sz="6" w:space="0" w:color="auto"/>
              <w:left w:val="single" w:sz="6" w:space="0" w:color="auto"/>
              <w:bottom w:val="single" w:sz="6" w:space="0" w:color="auto"/>
              <w:right w:val="single" w:sz="6" w:space="0" w:color="auto"/>
            </w:tcBorders>
          </w:tcPr>
          <w:p w14:paraId="72EBC28A" w14:textId="77777777" w:rsidR="0098530D" w:rsidRPr="00AB7CA1" w:rsidRDefault="0098530D" w:rsidP="00552502">
            <w:pPr>
              <w:pStyle w:val="Texto"/>
              <w:spacing w:after="80" w:line="211" w:lineRule="exact"/>
              <w:ind w:firstLine="0"/>
            </w:pPr>
            <w:r w:rsidRPr="00AB7CA1">
              <w:t xml:space="preserve">Publicada en el DOF el 23 de diciembre de 2016. El Anexo 7 publicado en DOF el 27 de diciembre de 2016. </w:t>
            </w:r>
          </w:p>
        </w:tc>
      </w:tr>
      <w:tr w:rsidR="0098530D" w:rsidRPr="00AB7CA1" w14:paraId="50D09652"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7B06D970" w14:textId="77777777" w:rsidR="0098530D" w:rsidRPr="00AB7CA1" w:rsidRDefault="0098530D" w:rsidP="00552502">
            <w:pPr>
              <w:pStyle w:val="Texto"/>
              <w:spacing w:after="80" w:line="211" w:lineRule="exact"/>
              <w:ind w:firstLine="0"/>
              <w:jc w:val="center"/>
              <w:rPr>
                <w:b/>
              </w:rPr>
            </w:pPr>
            <w:r w:rsidRPr="00AB7CA1">
              <w:rPr>
                <w:b/>
              </w:rPr>
              <w:t>Motivo de la derogación</w:t>
            </w:r>
          </w:p>
        </w:tc>
      </w:tr>
      <w:tr w:rsidR="0098530D" w:rsidRPr="00AB7CA1" w14:paraId="0D8BD1AD"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6D23B2B6" w14:textId="77777777" w:rsidR="0098530D" w:rsidRPr="00AB7CA1" w:rsidRDefault="0098530D" w:rsidP="00552502">
            <w:pPr>
              <w:pStyle w:val="Texto"/>
              <w:spacing w:after="80" w:line="211" w:lineRule="exact"/>
              <w:ind w:firstLine="0"/>
            </w:pPr>
            <w:r w:rsidRPr="00AB7CA1">
              <w:t xml:space="preserve">Se deroga en virtud de que el tema es regulado a través del artículo 16 de la Ley del ISR, adicionado mediante Decreto publicado en el DOF el 30 de noviembre de 2016. </w:t>
            </w:r>
          </w:p>
        </w:tc>
      </w:tr>
    </w:tbl>
    <w:p w14:paraId="47F7A081" w14:textId="77777777" w:rsidR="0098530D" w:rsidRDefault="0098530D" w:rsidP="0098530D">
      <w:pPr>
        <w:pStyle w:val="Texto"/>
        <w:spacing w:after="80" w:line="211" w:lineRule="exact"/>
      </w:pPr>
    </w:p>
    <w:p w14:paraId="01D559B9" w14:textId="77777777" w:rsidR="0098530D" w:rsidRPr="00AB7CA1" w:rsidRDefault="0098530D" w:rsidP="0098530D">
      <w:pPr>
        <w:pStyle w:val="Texto"/>
        <w:spacing w:after="80" w:line="211" w:lineRule="exact"/>
      </w:pPr>
      <w:r w:rsidRPr="00AB7CA1">
        <w:t>Atentamente.</w:t>
      </w:r>
    </w:p>
    <w:p w14:paraId="70DFAE0D" w14:textId="77777777" w:rsidR="0098530D" w:rsidRDefault="0098530D" w:rsidP="0098530D">
      <w:pPr>
        <w:pStyle w:val="Texto"/>
        <w:spacing w:after="80" w:line="211" w:lineRule="exact"/>
      </w:pPr>
      <w:r w:rsidRPr="00AB7CA1">
        <w:t xml:space="preserve">Ciudad de México, a 20 de diciembre de 2024.- En suplencia por ausencia del Jefe del Servicio de Administración Tributaria, con fundamento en el artículo 4, primer párrafo del Reglamento Interior del Servicio de Administración Tributaria, firma el Administrador General Jurídico, Lic. </w:t>
      </w:r>
      <w:r w:rsidRPr="00AB7CA1">
        <w:rPr>
          <w:b/>
        </w:rPr>
        <w:t>Ricardo Carrasco Varona</w:t>
      </w:r>
      <w:r w:rsidRPr="00AB7CA1">
        <w:t>.- Rúbrica.</w:t>
      </w:r>
    </w:p>
    <w:p w14:paraId="4E84A8D8" w14:textId="77777777" w:rsidR="00585184" w:rsidRDefault="00585184"/>
    <w:sectPr w:rsidR="0058518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908F" w14:textId="77777777" w:rsidR="00CE169F" w:rsidRDefault="00CE169F" w:rsidP="0098530D">
      <w:r>
        <w:separator/>
      </w:r>
    </w:p>
  </w:endnote>
  <w:endnote w:type="continuationSeparator" w:id="0">
    <w:p w14:paraId="4ADB981E" w14:textId="77777777" w:rsidR="00CE169F" w:rsidRDefault="00CE169F" w:rsidP="0098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notTrueType/>
    <w:pitch w:val="default"/>
    <w:sig w:usb0="00000003" w:usb1="00000000" w:usb2="00000000" w:usb3="00000000" w:csb0="00000001"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Cambria"/>
    <w:panose1 w:val="020B0604020202020204"/>
    <w:charset w:val="00"/>
    <w:family w:val="roman"/>
    <w:notTrueType/>
    <w:pitch w:val="default"/>
    <w:sig w:usb0="00000003" w:usb1="00000000" w:usb2="00000000" w:usb3="00000000" w:csb0="00000001" w:csb1="00000000"/>
  </w:font>
  <w:font w:name="AdAbe Caslon Pro">
    <w:altName w:val="Cambria"/>
    <w:panose1 w:val="020B0604020202020204"/>
    <w:charset w:val="00"/>
    <w:family w:val="roman"/>
    <w:pitch w:val="default"/>
    <w:sig w:usb0="00000003" w:usb1="00000000" w:usb2="00000000" w:usb3="00000000" w:csb0="00000001" w:csb1="00000000"/>
  </w:font>
  <w:font w:name="CaAibri">
    <w:altName w:val="Calibri"/>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notTrueType/>
    <w:pitch w:val="default"/>
    <w:sig w:usb0="00000003" w:usb1="00000000" w:usb2="00000000" w:usb3="00000000" w:csb0="00000001" w:csb1="00000000"/>
  </w:font>
  <w:font w:name="TaAoma">
    <w:panose1 w:val="020B0604020202020204"/>
    <w:charset w:val="00"/>
    <w:family w:val="swiss"/>
    <w:notTrueType/>
    <w:pitch w:val="default"/>
    <w:sig w:usb0="00000003" w:usb1="00000000" w:usb2="00000000" w:usb3="00000000" w:csb0="00000001" w:csb1="00000000"/>
  </w:font>
  <w:font w:name="LuAida Grande">
    <w:panose1 w:val="020B0604020202020204"/>
    <w:charset w:val="00"/>
    <w:family w:val="auto"/>
    <w:notTrueType/>
    <w:pitch w:val="default"/>
    <w:sig w:usb0="00000003" w:usb1="00000000" w:usb2="00000000" w:usb3="00000000" w:csb0="00000001" w:csb1="00000000"/>
  </w:font>
  <w:font w:name="R Arutiger Roman">
    <w:altName w:val="Calibri"/>
    <w:panose1 w:val="020B0604020202020204"/>
    <w:charset w:val="00"/>
    <w:family w:val="auto"/>
    <w:notTrueType/>
    <w:pitch w:val="default"/>
    <w:sig w:usb0="00000003" w:usb1="00000000" w:usb2="00000000" w:usb3="00000000" w:csb0="00000001" w:csb1="00000000"/>
  </w:font>
  <w:font w:name="CoAstantia">
    <w:altName w:val="Cambria"/>
    <w:panose1 w:val="020B0604020202020204"/>
    <w:charset w:val="00"/>
    <w:family w:val="roman"/>
    <w:notTrueType/>
    <w:pitch w:val="default"/>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SeAoe UI">
    <w:panose1 w:val="020B0604020202020204"/>
    <w:charset w:val="00"/>
    <w:family w:val="swiss"/>
    <w:notTrueType/>
    <w:pitch w:val="default"/>
    <w:sig w:usb0="00000003" w:usb1="00000000" w:usb2="00000000" w:usb3="00000000" w:csb0="00000001" w:csb1="00000000"/>
  </w:font>
  <w:font w:name="UnAvers">
    <w:altName w:val="Calibri"/>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Aibri Light">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EAA9" w14:textId="77777777" w:rsidR="00CE169F" w:rsidRDefault="00CE169F" w:rsidP="0098530D">
      <w:r>
        <w:separator/>
      </w:r>
    </w:p>
  </w:footnote>
  <w:footnote w:type="continuationSeparator" w:id="0">
    <w:p w14:paraId="47D5C44C" w14:textId="77777777" w:rsidR="00CE169F" w:rsidRDefault="00CE169F" w:rsidP="00985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C82C" w14:textId="2C125B7F" w:rsidR="0098530D" w:rsidRPr="0098530D" w:rsidRDefault="0098530D">
    <w:pPr>
      <w:pStyle w:val="Encabezado"/>
      <w:rPr>
        <w:lang w:val="es-ES_tradnl"/>
      </w:rPr>
    </w:pPr>
    <w:r>
      <w:rPr>
        <w:lang w:val="es-ES_tradnl"/>
      </w:rPr>
      <w:t xml:space="preserve">DOF 3/01/2025. </w:t>
    </w:r>
    <w:hyperlink r:id="rId1" w:history="1">
      <w:r w:rsidRPr="00207E0B">
        <w:rPr>
          <w:rStyle w:val="Hipervnculo"/>
          <w:lang w:val="es-ES_tradnl"/>
        </w:rPr>
        <w:t>www.amcp.mx</w:t>
      </w:r>
    </w:hyperlink>
    <w:r>
      <w:rPr>
        <w:lang w:val="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0D"/>
    <w:rsid w:val="00585184"/>
    <w:rsid w:val="006012A0"/>
    <w:rsid w:val="00802ABF"/>
    <w:rsid w:val="0098530D"/>
    <w:rsid w:val="00CE1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170B"/>
  <w15:chartTrackingRefBased/>
  <w15:docId w15:val="{F1D2E92A-46A9-B341-AE22-8A1372AA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30D"/>
    <w:rPr>
      <w:rFonts w:ascii="Times New Roman" w:eastAsia="Times New Roman" w:hAnsi="Times New Roman" w:cs="Times New Roman"/>
      <w:lang w:eastAsia="es-ES"/>
    </w:rPr>
  </w:style>
  <w:style w:type="paragraph" w:styleId="Ttulo1">
    <w:name w:val="heading 1"/>
    <w:basedOn w:val="Normal"/>
    <w:next w:val="Normal"/>
    <w:link w:val="Ttulo1Car"/>
    <w:qFormat/>
    <w:rsid w:val="0098530D"/>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98530D"/>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98530D"/>
    <w:pPr>
      <w:keepNext/>
      <w:spacing w:before="240" w:after="60"/>
      <w:outlineLvl w:val="2"/>
    </w:pPr>
    <w:rPr>
      <w:rFonts w:ascii="CaAbria" w:hAnsi="CaAbria" w:cs="CaAbria"/>
      <w:b/>
      <w:sz w:val="26"/>
      <w:szCs w:val="20"/>
      <w:lang w:val="en-US" w:eastAsia="es-MX"/>
    </w:rPr>
  </w:style>
  <w:style w:type="paragraph" w:styleId="Ttulo4">
    <w:name w:val="heading 4"/>
    <w:basedOn w:val="Normal"/>
    <w:next w:val="Normal"/>
    <w:link w:val="Ttulo4Car"/>
    <w:qFormat/>
    <w:rsid w:val="0098530D"/>
    <w:pPr>
      <w:keepNext/>
      <w:jc w:val="center"/>
      <w:outlineLvl w:val="3"/>
    </w:pPr>
    <w:rPr>
      <w:rFonts w:ascii="ArAal" w:hAnsi="ArAal" w:cs="ArAal"/>
      <w:b/>
      <w:sz w:val="22"/>
      <w:szCs w:val="20"/>
      <w:u w:val="single"/>
      <w:lang w:val="es-ES" w:eastAsia="es-MX"/>
    </w:rPr>
  </w:style>
  <w:style w:type="paragraph" w:styleId="Ttulo5">
    <w:name w:val="heading 5"/>
    <w:basedOn w:val="Normal"/>
    <w:next w:val="Normal"/>
    <w:link w:val="Ttulo5Car"/>
    <w:qFormat/>
    <w:rsid w:val="0098530D"/>
    <w:pPr>
      <w:keepNext/>
      <w:jc w:val="center"/>
      <w:outlineLvl w:val="4"/>
    </w:pPr>
    <w:rPr>
      <w:rFonts w:ascii="ArAal" w:hAnsi="ArAal" w:cs="ArAal"/>
      <w:b/>
      <w:sz w:val="22"/>
      <w:szCs w:val="20"/>
      <w:lang w:val="es-ES" w:eastAsia="es-MX"/>
    </w:rPr>
  </w:style>
  <w:style w:type="paragraph" w:styleId="Ttulo6">
    <w:name w:val="heading 6"/>
    <w:basedOn w:val="Normal"/>
    <w:next w:val="Normal"/>
    <w:link w:val="Ttulo6Car"/>
    <w:qFormat/>
    <w:rsid w:val="0098530D"/>
    <w:pPr>
      <w:spacing w:before="240" w:after="60"/>
      <w:outlineLvl w:val="5"/>
    </w:pPr>
    <w:rPr>
      <w:rFonts w:ascii="TiAes New Roman" w:hAnsi="TiAes New Roman" w:cs="TiAes New Roman"/>
      <w:b/>
      <w:sz w:val="22"/>
      <w:szCs w:val="20"/>
      <w:lang w:val="es-ES" w:eastAsia="es-MX"/>
    </w:rPr>
  </w:style>
  <w:style w:type="paragraph" w:styleId="Ttulo7">
    <w:name w:val="heading 7"/>
    <w:basedOn w:val="Normal"/>
    <w:next w:val="Normal"/>
    <w:link w:val="Ttulo7Car"/>
    <w:qFormat/>
    <w:rsid w:val="0098530D"/>
    <w:pPr>
      <w:spacing w:before="240" w:after="60"/>
      <w:outlineLvl w:val="6"/>
    </w:pPr>
    <w:rPr>
      <w:rFonts w:ascii="TiAes New Roman" w:hAnsi="TiAes New Roman" w:cs="TiAes New Roman"/>
      <w:szCs w:val="20"/>
      <w:lang w:val="es-ES" w:eastAsia="es-MX"/>
    </w:rPr>
  </w:style>
  <w:style w:type="paragraph" w:styleId="Ttulo8">
    <w:name w:val="heading 8"/>
    <w:basedOn w:val="Normal"/>
    <w:next w:val="Normal"/>
    <w:link w:val="Ttulo8Car"/>
    <w:qFormat/>
    <w:rsid w:val="0098530D"/>
    <w:pPr>
      <w:spacing w:before="240" w:after="60"/>
      <w:outlineLvl w:val="7"/>
    </w:pPr>
    <w:rPr>
      <w:rFonts w:ascii="TiAes New Roman" w:hAnsi="TiAes New Roman" w:cs="TiAes New Roman"/>
      <w:i/>
      <w:szCs w:val="20"/>
      <w:lang w:val="es-ES" w:eastAsia="es-MX"/>
    </w:rPr>
  </w:style>
  <w:style w:type="paragraph" w:styleId="Ttulo9">
    <w:name w:val="heading 9"/>
    <w:basedOn w:val="Normal"/>
    <w:next w:val="Normal"/>
    <w:link w:val="Ttulo9Car"/>
    <w:qFormat/>
    <w:rsid w:val="0098530D"/>
    <w:pPr>
      <w:spacing w:before="240" w:after="60"/>
      <w:outlineLvl w:val="8"/>
    </w:pPr>
    <w:rPr>
      <w:rFonts w:ascii="ArAal" w:hAnsi="ArAal" w:cs="ArAal"/>
      <w:sz w:val="2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8530D"/>
    <w:rPr>
      <w:rFonts w:ascii="Times New Roman" w:eastAsia="Times New Roman" w:hAnsi="Times New Roman" w:cs="CG Palacio (WN)"/>
      <w:b/>
      <w:sz w:val="18"/>
      <w:lang w:eastAsia="es-ES"/>
    </w:rPr>
  </w:style>
  <w:style w:type="character" w:customStyle="1" w:styleId="Ttulo2Car">
    <w:name w:val="Título 2 Car"/>
    <w:basedOn w:val="Fuentedeprrafopredeter"/>
    <w:link w:val="Ttulo2"/>
    <w:rsid w:val="0098530D"/>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98530D"/>
    <w:rPr>
      <w:rFonts w:ascii="CaAbria" w:eastAsia="Times New Roman" w:hAnsi="CaAbria" w:cs="CaAbria"/>
      <w:b/>
      <w:sz w:val="26"/>
      <w:szCs w:val="20"/>
      <w:lang w:val="en-US" w:eastAsia="es-MX"/>
    </w:rPr>
  </w:style>
  <w:style w:type="character" w:customStyle="1" w:styleId="Ttulo4Car">
    <w:name w:val="Título 4 Car"/>
    <w:basedOn w:val="Fuentedeprrafopredeter"/>
    <w:link w:val="Ttulo4"/>
    <w:rsid w:val="0098530D"/>
    <w:rPr>
      <w:rFonts w:ascii="ArAal" w:eastAsia="Times New Roman" w:hAnsi="ArAal" w:cs="ArAal"/>
      <w:b/>
      <w:sz w:val="22"/>
      <w:szCs w:val="20"/>
      <w:u w:val="single"/>
      <w:lang w:val="es-ES" w:eastAsia="es-MX"/>
    </w:rPr>
  </w:style>
  <w:style w:type="character" w:customStyle="1" w:styleId="Ttulo5Car">
    <w:name w:val="Título 5 Car"/>
    <w:basedOn w:val="Fuentedeprrafopredeter"/>
    <w:link w:val="Ttulo5"/>
    <w:rsid w:val="0098530D"/>
    <w:rPr>
      <w:rFonts w:ascii="ArAal" w:eastAsia="Times New Roman" w:hAnsi="ArAal" w:cs="ArAal"/>
      <w:b/>
      <w:sz w:val="22"/>
      <w:szCs w:val="20"/>
      <w:lang w:val="es-ES" w:eastAsia="es-MX"/>
    </w:rPr>
  </w:style>
  <w:style w:type="character" w:customStyle="1" w:styleId="Ttulo6Car">
    <w:name w:val="Título 6 Car"/>
    <w:basedOn w:val="Fuentedeprrafopredeter"/>
    <w:link w:val="Ttulo6"/>
    <w:rsid w:val="0098530D"/>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98530D"/>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98530D"/>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98530D"/>
    <w:rPr>
      <w:rFonts w:ascii="ArAal" w:eastAsia="Times New Roman" w:hAnsi="ArAal" w:cs="ArAal"/>
      <w:sz w:val="22"/>
      <w:szCs w:val="20"/>
      <w:lang w:val="es-ES" w:eastAsia="es-MX"/>
    </w:rPr>
  </w:style>
  <w:style w:type="paragraph" w:customStyle="1" w:styleId="Texto">
    <w:name w:val="Texto"/>
    <w:basedOn w:val="Normal"/>
    <w:link w:val="TextoCar"/>
    <w:qFormat/>
    <w:rsid w:val="0098530D"/>
    <w:pPr>
      <w:spacing w:after="101" w:line="216" w:lineRule="exact"/>
      <w:ind w:firstLine="288"/>
      <w:jc w:val="both"/>
    </w:pPr>
    <w:rPr>
      <w:rFonts w:ascii="Arial" w:hAnsi="Arial" w:cs="Arial"/>
      <w:sz w:val="18"/>
      <w:szCs w:val="20"/>
    </w:rPr>
  </w:style>
  <w:style w:type="paragraph" w:customStyle="1" w:styleId="CABEZA">
    <w:name w:val="CABEZA"/>
    <w:basedOn w:val="Normal"/>
    <w:rsid w:val="0098530D"/>
    <w:pPr>
      <w:jc w:val="center"/>
    </w:pPr>
    <w:rPr>
      <w:rFonts w:eastAsia="Calibri" w:cs="Arial"/>
      <w:b/>
      <w:sz w:val="28"/>
      <w:szCs w:val="28"/>
      <w:lang w:val="es-ES_tradnl" w:eastAsia="es-MX"/>
    </w:rPr>
  </w:style>
  <w:style w:type="paragraph" w:customStyle="1" w:styleId="ROMANOS">
    <w:name w:val="ROMANOS"/>
    <w:basedOn w:val="Normal"/>
    <w:link w:val="ROMANOSCar"/>
    <w:rsid w:val="0098530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98530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98530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qFormat/>
    <w:rsid w:val="0098530D"/>
    <w:pPr>
      <w:spacing w:before="101" w:after="101" w:line="216" w:lineRule="atLeast"/>
      <w:jc w:val="center"/>
    </w:pPr>
    <w:rPr>
      <w:b/>
      <w:sz w:val="18"/>
      <w:szCs w:val="20"/>
      <w:lang w:val="es-ES_tradnl"/>
    </w:rPr>
  </w:style>
  <w:style w:type="paragraph" w:customStyle="1" w:styleId="SUBIN">
    <w:name w:val="SUBIN"/>
    <w:basedOn w:val="Texto"/>
    <w:rsid w:val="0098530D"/>
    <w:pPr>
      <w:ind w:left="1987" w:hanging="720"/>
    </w:pPr>
  </w:style>
  <w:style w:type="paragraph" w:customStyle="1" w:styleId="Titulo1">
    <w:name w:val="Titulo 1"/>
    <w:basedOn w:val="Texto"/>
    <w:link w:val="Titulo1Car"/>
    <w:rsid w:val="0098530D"/>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98530D"/>
    <w:pPr>
      <w:pBdr>
        <w:top w:val="double" w:sz="6" w:space="1" w:color="auto"/>
      </w:pBdr>
      <w:spacing w:line="240" w:lineRule="auto"/>
      <w:ind w:firstLine="0"/>
      <w:outlineLvl w:val="1"/>
    </w:pPr>
  </w:style>
  <w:style w:type="paragraph" w:customStyle="1" w:styleId="tt">
    <w:name w:val="tt"/>
    <w:basedOn w:val="Texto"/>
    <w:rsid w:val="0098530D"/>
    <w:pPr>
      <w:tabs>
        <w:tab w:val="left" w:pos="1320"/>
        <w:tab w:val="left" w:pos="1629"/>
      </w:tabs>
      <w:ind w:left="1647" w:hanging="1440"/>
    </w:pPr>
    <w:rPr>
      <w:lang w:val="es-ES_tradnl"/>
    </w:rPr>
  </w:style>
  <w:style w:type="paragraph" w:customStyle="1" w:styleId="sum">
    <w:name w:val="sum"/>
    <w:basedOn w:val="Texto"/>
    <w:rsid w:val="0098530D"/>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98530D"/>
    <w:pPr>
      <w:tabs>
        <w:tab w:val="center" w:pos="4419"/>
        <w:tab w:val="right" w:pos="8838"/>
      </w:tabs>
    </w:pPr>
  </w:style>
  <w:style w:type="character" w:customStyle="1" w:styleId="EncabezadoCar">
    <w:name w:val="Encabezado Car"/>
    <w:basedOn w:val="Fuentedeprrafopredeter"/>
    <w:link w:val="Encabezado"/>
    <w:rsid w:val="0098530D"/>
    <w:rPr>
      <w:rFonts w:ascii="Times New Roman" w:eastAsia="Times New Roman" w:hAnsi="Times New Roman" w:cs="Times New Roman"/>
      <w:lang w:eastAsia="es-ES"/>
    </w:rPr>
  </w:style>
  <w:style w:type="paragraph" w:customStyle="1" w:styleId="EstilotextoPrimeralnea0">
    <w:name w:val="Estilo texto + Primera línea:  0&quot;"/>
    <w:basedOn w:val="Normal"/>
    <w:rsid w:val="0098530D"/>
    <w:pPr>
      <w:spacing w:after="101" w:line="216" w:lineRule="exact"/>
      <w:jc w:val="both"/>
    </w:pPr>
    <w:rPr>
      <w:rFonts w:ascii="Arial" w:hAnsi="Arial"/>
      <w:sz w:val="18"/>
      <w:szCs w:val="20"/>
      <w:lang w:eastAsia="es-MX"/>
    </w:rPr>
  </w:style>
  <w:style w:type="character" w:customStyle="1" w:styleId="TextoCar">
    <w:name w:val="Texto Car"/>
    <w:link w:val="Texto"/>
    <w:locked/>
    <w:rsid w:val="0098530D"/>
    <w:rPr>
      <w:rFonts w:ascii="Arial" w:eastAsia="Times New Roman" w:hAnsi="Arial" w:cs="Arial"/>
      <w:sz w:val="18"/>
      <w:szCs w:val="20"/>
      <w:lang w:eastAsia="es-ES"/>
    </w:rPr>
  </w:style>
  <w:style w:type="character" w:customStyle="1" w:styleId="ROMANOSCar">
    <w:name w:val="ROMANOS Car"/>
    <w:link w:val="ROMANOS"/>
    <w:locked/>
    <w:rsid w:val="0098530D"/>
    <w:rPr>
      <w:rFonts w:ascii="Arial" w:eastAsia="Times New Roman" w:hAnsi="Arial" w:cs="Arial"/>
      <w:sz w:val="18"/>
      <w:szCs w:val="18"/>
      <w:lang w:eastAsia="es-ES"/>
    </w:rPr>
  </w:style>
  <w:style w:type="character" w:customStyle="1" w:styleId="ANOTACIONCar">
    <w:name w:val="ANOTACION Car"/>
    <w:link w:val="ANOTACION"/>
    <w:locked/>
    <w:rsid w:val="0098530D"/>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98530D"/>
    <w:pPr>
      <w:tabs>
        <w:tab w:val="center" w:pos="4419"/>
        <w:tab w:val="right" w:pos="8838"/>
      </w:tabs>
    </w:pPr>
  </w:style>
  <w:style w:type="character" w:customStyle="1" w:styleId="PiedepginaCar">
    <w:name w:val="Pie de página Car"/>
    <w:basedOn w:val="Fuentedeprrafopredeter"/>
    <w:link w:val="Piedepgina"/>
    <w:rsid w:val="0098530D"/>
    <w:rPr>
      <w:rFonts w:ascii="Times New Roman" w:eastAsia="Times New Roman" w:hAnsi="Times New Roman" w:cs="Times New Roman"/>
      <w:lang w:eastAsia="es-ES"/>
    </w:rPr>
  </w:style>
  <w:style w:type="character" w:styleId="Nmerodepgina">
    <w:name w:val="page number"/>
    <w:basedOn w:val="Fuentedeprrafopredeter"/>
    <w:rsid w:val="0098530D"/>
  </w:style>
  <w:style w:type="character" w:customStyle="1" w:styleId="Titulo1Car">
    <w:name w:val="Titulo 1 Car"/>
    <w:link w:val="Titulo1"/>
    <w:locked/>
    <w:rsid w:val="0098530D"/>
    <w:rPr>
      <w:rFonts w:ascii="Times New Roman" w:eastAsia="Times New Roman" w:hAnsi="Times New Roman" w:cs="Arial"/>
      <w:b/>
      <w:sz w:val="18"/>
      <w:szCs w:val="18"/>
      <w:lang w:eastAsia="es-MX"/>
    </w:rPr>
  </w:style>
  <w:style w:type="paragraph" w:styleId="Textocomentario">
    <w:name w:val="annotation text"/>
    <w:basedOn w:val="Normal"/>
    <w:link w:val="TextocomentarioCar"/>
    <w:rsid w:val="0098530D"/>
    <w:rPr>
      <w:rFonts w:ascii="AdAbe Caslon Pro" w:hAnsi="AdAbe Caslon Pro" w:cs="AdAbe Caslon Pro"/>
      <w:sz w:val="22"/>
      <w:szCs w:val="20"/>
      <w:lang w:val="es-ES_tradnl" w:eastAsia="es-MX"/>
    </w:rPr>
  </w:style>
  <w:style w:type="character" w:customStyle="1" w:styleId="TextocomentarioCar">
    <w:name w:val="Texto comentario Car"/>
    <w:basedOn w:val="Fuentedeprrafopredeter"/>
    <w:link w:val="Textocomentario"/>
    <w:rsid w:val="0098530D"/>
    <w:rPr>
      <w:rFonts w:ascii="AdAbe Caslon Pro" w:eastAsia="Times New Roman" w:hAnsi="AdAbe Caslon Pro" w:cs="AdAbe Caslon Pro"/>
      <w:sz w:val="22"/>
      <w:szCs w:val="20"/>
      <w:lang w:val="es-ES_tradnl" w:eastAsia="es-MX"/>
    </w:rPr>
  </w:style>
  <w:style w:type="paragraph" w:styleId="TDC8">
    <w:name w:val="toc 8"/>
    <w:basedOn w:val="Normal"/>
    <w:next w:val="Normal"/>
    <w:rsid w:val="0098530D"/>
    <w:pPr>
      <w:ind w:left="1400"/>
    </w:pPr>
    <w:rPr>
      <w:rFonts w:ascii="TiAes New Roman" w:hAnsi="TiAes New Roman" w:cs="TiAes New Roman"/>
      <w:sz w:val="20"/>
      <w:szCs w:val="20"/>
      <w:lang w:val="es-ES" w:eastAsia="es-MX"/>
    </w:rPr>
  </w:style>
  <w:style w:type="paragraph" w:styleId="TDC7">
    <w:name w:val="toc 7"/>
    <w:basedOn w:val="Normal"/>
    <w:next w:val="Normal"/>
    <w:rsid w:val="0098530D"/>
    <w:pPr>
      <w:ind w:left="1200"/>
    </w:pPr>
    <w:rPr>
      <w:rFonts w:ascii="TiAes New Roman" w:hAnsi="TiAes New Roman" w:cs="TiAes New Roman"/>
      <w:sz w:val="20"/>
      <w:szCs w:val="20"/>
      <w:lang w:val="es-ES" w:eastAsia="es-MX"/>
    </w:rPr>
  </w:style>
  <w:style w:type="paragraph" w:styleId="TDC6">
    <w:name w:val="toc 6"/>
    <w:basedOn w:val="Normal"/>
    <w:next w:val="Normal"/>
    <w:rsid w:val="0098530D"/>
    <w:pPr>
      <w:ind w:left="1000"/>
    </w:pPr>
    <w:rPr>
      <w:rFonts w:ascii="TiAes New Roman" w:hAnsi="TiAes New Roman" w:cs="TiAes New Roman"/>
      <w:sz w:val="20"/>
      <w:szCs w:val="20"/>
      <w:lang w:val="es-ES" w:eastAsia="es-MX"/>
    </w:rPr>
  </w:style>
  <w:style w:type="paragraph" w:styleId="TDC5">
    <w:name w:val="toc 5"/>
    <w:basedOn w:val="Normal"/>
    <w:next w:val="Normal"/>
    <w:rsid w:val="0098530D"/>
    <w:pPr>
      <w:ind w:left="800"/>
    </w:pPr>
    <w:rPr>
      <w:rFonts w:ascii="TiAes New Roman" w:hAnsi="TiAes New Roman" w:cs="TiAes New Roman"/>
      <w:sz w:val="20"/>
      <w:szCs w:val="20"/>
      <w:lang w:val="es-ES" w:eastAsia="es-MX"/>
    </w:rPr>
  </w:style>
  <w:style w:type="paragraph" w:styleId="TDC4">
    <w:name w:val="toc 4"/>
    <w:basedOn w:val="Normal"/>
    <w:next w:val="Normal"/>
    <w:rsid w:val="0098530D"/>
    <w:pPr>
      <w:ind w:left="600"/>
    </w:pPr>
    <w:rPr>
      <w:rFonts w:ascii="TiAes New Roman" w:hAnsi="TiAes New Roman" w:cs="TiAes New Roman"/>
      <w:sz w:val="20"/>
      <w:szCs w:val="20"/>
      <w:lang w:val="es-ES" w:eastAsia="es-MX"/>
    </w:rPr>
  </w:style>
  <w:style w:type="paragraph" w:styleId="TDC3">
    <w:name w:val="toc 3"/>
    <w:basedOn w:val="Normal"/>
    <w:next w:val="Normal"/>
    <w:rsid w:val="0098530D"/>
    <w:pPr>
      <w:ind w:left="400"/>
    </w:pPr>
    <w:rPr>
      <w:rFonts w:ascii="TiAes New Roman" w:hAnsi="TiAes New Roman" w:cs="TiAes New Roman"/>
      <w:sz w:val="20"/>
      <w:szCs w:val="20"/>
      <w:lang w:val="es-ES" w:eastAsia="es-MX"/>
    </w:rPr>
  </w:style>
  <w:style w:type="paragraph" w:styleId="TDC2">
    <w:name w:val="toc 2"/>
    <w:basedOn w:val="Normal"/>
    <w:next w:val="Normal"/>
    <w:rsid w:val="0098530D"/>
    <w:pPr>
      <w:ind w:left="200"/>
    </w:pPr>
    <w:rPr>
      <w:rFonts w:ascii="TiAes New Roman" w:hAnsi="TiAes New Roman" w:cs="TiAes New Roman"/>
      <w:sz w:val="20"/>
      <w:szCs w:val="20"/>
      <w:lang w:val="es-ES" w:eastAsia="es-MX"/>
    </w:rPr>
  </w:style>
  <w:style w:type="paragraph" w:styleId="TDC1">
    <w:name w:val="toc 1"/>
    <w:basedOn w:val="Normal"/>
    <w:next w:val="Normal"/>
    <w:rsid w:val="0098530D"/>
    <w:rPr>
      <w:rFonts w:ascii="TiAes New Roman" w:hAnsi="TiAes New Roman" w:cs="TiAes New Roman"/>
      <w:sz w:val="20"/>
      <w:szCs w:val="20"/>
      <w:lang w:val="es-ES" w:eastAsia="es-MX"/>
    </w:rPr>
  </w:style>
  <w:style w:type="paragraph" w:styleId="ndice7">
    <w:name w:val="index 7"/>
    <w:basedOn w:val="Normal"/>
    <w:next w:val="Normal"/>
    <w:rsid w:val="0098530D"/>
    <w:pPr>
      <w:ind w:left="1400" w:hanging="200"/>
    </w:pPr>
    <w:rPr>
      <w:rFonts w:ascii="TiAes New Roman" w:hAnsi="TiAes New Roman" w:cs="TiAes New Roman"/>
      <w:sz w:val="20"/>
      <w:szCs w:val="20"/>
      <w:lang w:val="es-ES" w:eastAsia="es-MX"/>
    </w:rPr>
  </w:style>
  <w:style w:type="paragraph" w:styleId="ndice6">
    <w:name w:val="index 6"/>
    <w:basedOn w:val="Normal"/>
    <w:next w:val="Normal"/>
    <w:rsid w:val="0098530D"/>
    <w:pPr>
      <w:ind w:left="1200" w:hanging="200"/>
    </w:pPr>
    <w:rPr>
      <w:rFonts w:ascii="TiAes New Roman" w:hAnsi="TiAes New Roman" w:cs="TiAes New Roman"/>
      <w:sz w:val="20"/>
      <w:szCs w:val="20"/>
      <w:lang w:val="es-ES" w:eastAsia="es-MX"/>
    </w:rPr>
  </w:style>
  <w:style w:type="paragraph" w:styleId="ndice5">
    <w:name w:val="index 5"/>
    <w:basedOn w:val="Normal"/>
    <w:next w:val="Normal"/>
    <w:rsid w:val="0098530D"/>
    <w:pPr>
      <w:ind w:left="1000" w:hanging="200"/>
    </w:pPr>
    <w:rPr>
      <w:rFonts w:ascii="TiAes New Roman" w:hAnsi="TiAes New Roman" w:cs="TiAes New Roman"/>
      <w:sz w:val="20"/>
      <w:szCs w:val="20"/>
      <w:lang w:val="es-ES" w:eastAsia="es-MX"/>
    </w:rPr>
  </w:style>
  <w:style w:type="paragraph" w:styleId="ndice4">
    <w:name w:val="index 4"/>
    <w:basedOn w:val="Normal"/>
    <w:next w:val="Normal"/>
    <w:rsid w:val="0098530D"/>
    <w:pPr>
      <w:ind w:left="800" w:hanging="200"/>
    </w:pPr>
    <w:rPr>
      <w:rFonts w:ascii="TiAes New Roman" w:hAnsi="TiAes New Roman" w:cs="TiAes New Roman"/>
      <w:sz w:val="20"/>
      <w:szCs w:val="20"/>
      <w:lang w:val="es-ES" w:eastAsia="es-MX"/>
    </w:rPr>
  </w:style>
  <w:style w:type="paragraph" w:styleId="ndice3">
    <w:name w:val="index 3"/>
    <w:basedOn w:val="Normal"/>
    <w:next w:val="Normal"/>
    <w:rsid w:val="0098530D"/>
    <w:pPr>
      <w:ind w:left="600" w:hanging="200"/>
    </w:pPr>
    <w:rPr>
      <w:rFonts w:ascii="TiAes New Roman" w:hAnsi="TiAes New Roman" w:cs="TiAes New Roman"/>
      <w:sz w:val="20"/>
      <w:szCs w:val="20"/>
      <w:lang w:val="es-ES" w:eastAsia="es-MX"/>
    </w:rPr>
  </w:style>
  <w:style w:type="paragraph" w:styleId="ndice2">
    <w:name w:val="index 2"/>
    <w:basedOn w:val="Normal"/>
    <w:next w:val="Normal"/>
    <w:rsid w:val="0098530D"/>
    <w:pPr>
      <w:ind w:left="400" w:hanging="200"/>
    </w:pPr>
    <w:rPr>
      <w:rFonts w:ascii="TiAes New Roman" w:hAnsi="TiAes New Roman" w:cs="TiAes New Roman"/>
      <w:sz w:val="20"/>
      <w:szCs w:val="20"/>
      <w:lang w:val="es-ES" w:eastAsia="es-MX"/>
    </w:rPr>
  </w:style>
  <w:style w:type="paragraph" w:styleId="ndice1">
    <w:name w:val="index 1"/>
    <w:basedOn w:val="Normal"/>
    <w:next w:val="Normal"/>
    <w:rsid w:val="0098530D"/>
    <w:pPr>
      <w:ind w:left="220" w:hanging="220"/>
    </w:pPr>
    <w:rPr>
      <w:rFonts w:ascii="ArAal" w:hAnsi="ArAal" w:cs="ArAal"/>
      <w:sz w:val="22"/>
      <w:szCs w:val="20"/>
      <w:lang w:eastAsia="es-MX"/>
    </w:rPr>
  </w:style>
  <w:style w:type="paragraph" w:styleId="Ttulodendice">
    <w:name w:val="index heading"/>
    <w:basedOn w:val="Normal"/>
    <w:next w:val="ndice1"/>
    <w:rsid w:val="0098530D"/>
    <w:rPr>
      <w:rFonts w:ascii="ArAal" w:hAnsi="ArAal" w:cs="ArAal"/>
      <w:b/>
      <w:sz w:val="20"/>
      <w:szCs w:val="20"/>
      <w:lang w:val="es-ES" w:eastAsia="es-MX"/>
    </w:rPr>
  </w:style>
  <w:style w:type="paragraph" w:styleId="Textonotapie">
    <w:name w:val="footnote text"/>
    <w:basedOn w:val="Normal"/>
    <w:link w:val="TextonotapieCar"/>
    <w:rsid w:val="0098530D"/>
    <w:rPr>
      <w:rFonts w:ascii="TiAes New Roman" w:hAnsi="TiAes New Roman" w:cs="TiAes New Roman"/>
      <w:sz w:val="22"/>
      <w:szCs w:val="20"/>
      <w:lang w:eastAsia="es-MX"/>
    </w:rPr>
  </w:style>
  <w:style w:type="character" w:customStyle="1" w:styleId="TextonotapieCar">
    <w:name w:val="Texto nota pie Car"/>
    <w:basedOn w:val="Fuentedeprrafopredeter"/>
    <w:link w:val="Textonotapie"/>
    <w:rsid w:val="0098530D"/>
    <w:rPr>
      <w:rFonts w:ascii="TiAes New Roman" w:eastAsia="Times New Roman" w:hAnsi="TiAes New Roman" w:cs="TiAes New Roman"/>
      <w:sz w:val="22"/>
      <w:szCs w:val="20"/>
      <w:lang w:eastAsia="es-MX"/>
    </w:rPr>
  </w:style>
  <w:style w:type="paragraph" w:styleId="Sangranormal">
    <w:name w:val="Normal Indent"/>
    <w:basedOn w:val="Normal"/>
    <w:rsid w:val="0098530D"/>
    <w:pPr>
      <w:spacing w:after="72" w:line="187" w:lineRule="atLeast"/>
      <w:jc w:val="both"/>
    </w:pPr>
    <w:rPr>
      <w:rFonts w:ascii="ArAal" w:hAnsi="ArAal" w:cs="ArAal"/>
      <w:sz w:val="16"/>
      <w:szCs w:val="20"/>
      <w:lang w:val="es-ES_tradnl" w:eastAsia="es-MX"/>
    </w:rPr>
  </w:style>
  <w:style w:type="paragraph" w:customStyle="1" w:styleId="Textonormal">
    <w:name w:val="Texto normal"/>
    <w:basedOn w:val="Normal"/>
    <w:rsid w:val="0098530D"/>
    <w:pPr>
      <w:jc w:val="center"/>
    </w:pPr>
    <w:rPr>
      <w:rFonts w:ascii="ArAal" w:hAnsi="ArAal" w:cs="ArAal"/>
      <w:b/>
      <w:sz w:val="22"/>
      <w:szCs w:val="20"/>
      <w:lang w:val="es-ES" w:eastAsia="es-MX"/>
    </w:rPr>
  </w:style>
  <w:style w:type="paragraph" w:customStyle="1" w:styleId="EstilotextoPrimeral">
    <w:name w:val="Estilo texto + Primera l"/>
    <w:basedOn w:val="Normal"/>
    <w:rsid w:val="0098530D"/>
    <w:pPr>
      <w:spacing w:after="101" w:line="216" w:lineRule="exact"/>
      <w:jc w:val="both"/>
    </w:pPr>
    <w:rPr>
      <w:rFonts w:ascii="ArAal" w:hAnsi="ArAal" w:cs="ArAal"/>
      <w:sz w:val="18"/>
      <w:szCs w:val="20"/>
      <w:lang w:eastAsia="es-MX"/>
    </w:rPr>
  </w:style>
  <w:style w:type="paragraph" w:customStyle="1" w:styleId="texto0">
    <w:name w:val="texto"/>
    <w:basedOn w:val="Normal"/>
    <w:rsid w:val="0098530D"/>
    <w:pPr>
      <w:spacing w:after="101" w:line="216" w:lineRule="exact"/>
      <w:ind w:firstLine="288"/>
      <w:jc w:val="both"/>
    </w:pPr>
    <w:rPr>
      <w:rFonts w:ascii="ArAal" w:hAnsi="ArAal" w:cs="ArAal"/>
      <w:sz w:val="18"/>
      <w:szCs w:val="20"/>
      <w:lang w:eastAsia="es-MX"/>
    </w:rPr>
  </w:style>
  <w:style w:type="paragraph" w:styleId="NormalWeb">
    <w:name w:val="Normal (Web)"/>
    <w:basedOn w:val="Normal"/>
    <w:rsid w:val="0098530D"/>
    <w:pPr>
      <w:spacing w:before="100" w:after="100"/>
    </w:pPr>
    <w:rPr>
      <w:rFonts w:ascii="TiAes New Roman" w:hAnsi="TiAes New Roman" w:cs="TiAes New Roman"/>
      <w:szCs w:val="20"/>
      <w:lang w:eastAsia="es-MX"/>
    </w:rPr>
  </w:style>
  <w:style w:type="paragraph" w:customStyle="1" w:styleId="textodenotaalfinal">
    <w:name w:val="texto de nota al final"/>
    <w:basedOn w:val="Normal"/>
    <w:rsid w:val="0098530D"/>
    <w:rPr>
      <w:rFonts w:ascii="CaAibri" w:hAnsi="CaAibri" w:cs="CaAibri"/>
      <w:sz w:val="22"/>
      <w:szCs w:val="20"/>
      <w:lang w:eastAsia="es-MX"/>
    </w:rPr>
  </w:style>
  <w:style w:type="paragraph" w:styleId="Textomacro">
    <w:name w:val="macro"/>
    <w:link w:val="TextomacroCar"/>
    <w:rsid w:val="0098530D"/>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2"/>
      <w:szCs w:val="20"/>
      <w:lang w:val="es-ES" w:eastAsia="es-MX"/>
    </w:rPr>
  </w:style>
  <w:style w:type="character" w:customStyle="1" w:styleId="TextomacroCar">
    <w:name w:val="Texto macro Car"/>
    <w:basedOn w:val="Fuentedeprrafopredeter"/>
    <w:link w:val="Textomacro"/>
    <w:rsid w:val="0098530D"/>
    <w:rPr>
      <w:rFonts w:ascii="CoArier New" w:eastAsia="Times New Roman" w:hAnsi="CoArier New" w:cs="CoArier New"/>
      <w:sz w:val="22"/>
      <w:szCs w:val="20"/>
      <w:lang w:val="es-ES" w:eastAsia="es-MX"/>
    </w:rPr>
  </w:style>
  <w:style w:type="paragraph" w:styleId="Lista4">
    <w:name w:val="List 4"/>
    <w:basedOn w:val="Normal"/>
    <w:rsid w:val="0098530D"/>
    <w:pPr>
      <w:ind w:left="283" w:hanging="283"/>
    </w:pPr>
    <w:rPr>
      <w:rFonts w:ascii="CaAibri" w:hAnsi="CaAibri" w:cs="CaAibri"/>
      <w:sz w:val="22"/>
      <w:szCs w:val="20"/>
      <w:lang w:eastAsia="es-MX"/>
    </w:rPr>
  </w:style>
  <w:style w:type="paragraph" w:styleId="Lista5">
    <w:name w:val="List 5"/>
    <w:basedOn w:val="Normal"/>
    <w:rsid w:val="0098530D"/>
    <w:pPr>
      <w:spacing w:after="200" w:line="276" w:lineRule="atLeast"/>
      <w:ind w:left="849" w:hanging="283"/>
    </w:pPr>
    <w:rPr>
      <w:rFonts w:ascii="CaAibri" w:hAnsi="CaAibri" w:cs="CaAibri"/>
      <w:sz w:val="22"/>
      <w:szCs w:val="20"/>
      <w:lang w:eastAsia="es-MX"/>
    </w:rPr>
  </w:style>
  <w:style w:type="paragraph" w:customStyle="1" w:styleId="Listadevietas2">
    <w:name w:val="Lista de viñetas 2"/>
    <w:basedOn w:val="Normal"/>
    <w:rsid w:val="0098530D"/>
    <w:pPr>
      <w:spacing w:after="200" w:line="276" w:lineRule="atLeast"/>
      <w:ind w:left="1132" w:hanging="283"/>
    </w:pPr>
    <w:rPr>
      <w:rFonts w:ascii="CaAibri" w:hAnsi="CaAibri" w:cs="CaAibri"/>
      <w:sz w:val="22"/>
      <w:szCs w:val="20"/>
      <w:lang w:eastAsia="es-MX"/>
    </w:rPr>
  </w:style>
  <w:style w:type="paragraph" w:styleId="Cierre">
    <w:name w:val="Closing"/>
    <w:basedOn w:val="Normal"/>
    <w:link w:val="CierreCar"/>
    <w:rsid w:val="0098530D"/>
    <w:pPr>
      <w:ind w:left="4252"/>
    </w:pPr>
    <w:rPr>
      <w:rFonts w:ascii="TiAes New Roman" w:hAnsi="TiAes New Roman" w:cs="TiAes New Roman"/>
      <w:sz w:val="22"/>
      <w:szCs w:val="20"/>
      <w:lang w:val="es-ES" w:eastAsia="es-MX"/>
    </w:rPr>
  </w:style>
  <w:style w:type="character" w:customStyle="1" w:styleId="CierreCar">
    <w:name w:val="Cierre Car"/>
    <w:basedOn w:val="Fuentedeprrafopredeter"/>
    <w:link w:val="Cierre"/>
    <w:rsid w:val="0098530D"/>
    <w:rPr>
      <w:rFonts w:ascii="TiAes New Roman" w:eastAsia="Times New Roman" w:hAnsi="TiAes New Roman" w:cs="TiAes New Roman"/>
      <w:sz w:val="22"/>
      <w:szCs w:val="20"/>
      <w:lang w:val="es-ES" w:eastAsia="es-MX"/>
    </w:rPr>
  </w:style>
  <w:style w:type="paragraph" w:styleId="Firma">
    <w:name w:val="Signature"/>
    <w:basedOn w:val="Normal"/>
    <w:link w:val="FirmaCar"/>
    <w:rsid w:val="0098530D"/>
    <w:pPr>
      <w:ind w:left="4252"/>
    </w:pPr>
    <w:rPr>
      <w:rFonts w:ascii="TiAes New Roman" w:hAnsi="TiAes New Roman" w:cs="TiAes New Roman"/>
      <w:sz w:val="22"/>
      <w:szCs w:val="20"/>
      <w:lang w:val="es-ES" w:eastAsia="es-MX"/>
    </w:rPr>
  </w:style>
  <w:style w:type="character" w:customStyle="1" w:styleId="FirmaCar">
    <w:name w:val="Firma Car"/>
    <w:basedOn w:val="Fuentedeprrafopredeter"/>
    <w:link w:val="Firma"/>
    <w:rsid w:val="0098530D"/>
    <w:rPr>
      <w:rFonts w:ascii="TiAes New Roman" w:eastAsia="Times New Roman" w:hAnsi="TiAes New Roman" w:cs="TiAes New Roman"/>
      <w:sz w:val="22"/>
      <w:szCs w:val="20"/>
      <w:lang w:val="es-ES" w:eastAsia="es-MX"/>
    </w:rPr>
  </w:style>
  <w:style w:type="paragraph" w:customStyle="1" w:styleId="Textoindependiente21">
    <w:name w:val="Texto independiente 21"/>
    <w:basedOn w:val="Normal"/>
    <w:rsid w:val="0098530D"/>
    <w:pPr>
      <w:spacing w:after="120" w:line="276" w:lineRule="atLeast"/>
      <w:ind w:left="283"/>
    </w:pPr>
    <w:rPr>
      <w:rFonts w:ascii="CaAibri" w:hAnsi="CaAibri" w:cs="CaAibri"/>
      <w:sz w:val="22"/>
      <w:szCs w:val="20"/>
      <w:lang w:eastAsia="es-MX"/>
    </w:rPr>
  </w:style>
  <w:style w:type="paragraph" w:styleId="Subttulo">
    <w:name w:val="Subtitle"/>
    <w:basedOn w:val="Normal"/>
    <w:next w:val="Normal"/>
    <w:link w:val="SubttuloCar"/>
    <w:qFormat/>
    <w:rsid w:val="0098530D"/>
    <w:rPr>
      <w:rFonts w:ascii="CaAbria" w:hAnsi="CaAbria" w:cs="CaAbria"/>
      <w:i/>
      <w:color w:val="C0C0C0"/>
      <w:spacing w:val="15"/>
      <w:szCs w:val="20"/>
      <w:lang w:eastAsia="es-MX"/>
    </w:rPr>
  </w:style>
  <w:style w:type="character" w:customStyle="1" w:styleId="SubttuloCar">
    <w:name w:val="Subtítulo Car"/>
    <w:basedOn w:val="Fuentedeprrafopredeter"/>
    <w:link w:val="Subttulo"/>
    <w:rsid w:val="0098530D"/>
    <w:rPr>
      <w:rFonts w:ascii="CaAbria" w:eastAsia="Times New Roman" w:hAnsi="CaAbria" w:cs="CaAbria"/>
      <w:i/>
      <w:color w:val="C0C0C0"/>
      <w:spacing w:val="15"/>
      <w:szCs w:val="20"/>
      <w:lang w:eastAsia="es-MX"/>
    </w:rPr>
  </w:style>
  <w:style w:type="paragraph" w:customStyle="1" w:styleId="Textoindependienteprim">
    <w:name w:val="Texto independiente prim"/>
    <w:basedOn w:val="Textonormal"/>
    <w:rsid w:val="0098530D"/>
    <w:pPr>
      <w:spacing w:after="200" w:line="276" w:lineRule="atLeast"/>
      <w:ind w:firstLine="360"/>
      <w:jc w:val="left"/>
    </w:pPr>
    <w:rPr>
      <w:rFonts w:ascii="CaAibri" w:hAnsi="CaAibri" w:cs="CaAibri"/>
      <w:b w:val="0"/>
      <w:lang w:val="es-MX"/>
    </w:rPr>
  </w:style>
  <w:style w:type="paragraph" w:customStyle="1" w:styleId="Textoindependientep000">
    <w:name w:val="Texto independiente p000"/>
    <w:basedOn w:val="Textoindependiente21"/>
    <w:rsid w:val="0098530D"/>
    <w:pPr>
      <w:spacing w:after="200"/>
      <w:ind w:left="360" w:firstLine="360"/>
    </w:pPr>
  </w:style>
  <w:style w:type="paragraph" w:customStyle="1" w:styleId="Textosinformato1">
    <w:name w:val="Texto sin formato1"/>
    <w:basedOn w:val="Normal"/>
    <w:rsid w:val="0098530D"/>
    <w:rPr>
      <w:rFonts w:ascii="CoArier New" w:hAnsi="CoArier New" w:cs="CoArier New"/>
      <w:sz w:val="22"/>
      <w:szCs w:val="20"/>
      <w:lang w:val="es-ES" w:eastAsia="es-MX"/>
    </w:rPr>
  </w:style>
  <w:style w:type="paragraph" w:customStyle="1" w:styleId="Asuntodelcomentario1">
    <w:name w:val="Asunto del comentario1"/>
    <w:basedOn w:val="Textocomentario"/>
    <w:next w:val="Textocomentario"/>
    <w:rsid w:val="0098530D"/>
    <w:pPr>
      <w:spacing w:after="200"/>
    </w:pPr>
    <w:rPr>
      <w:rFonts w:ascii="CaAibri" w:hAnsi="CaAibri" w:cs="CaAibri"/>
      <w:b/>
      <w:lang w:val="es-MX"/>
    </w:rPr>
  </w:style>
  <w:style w:type="paragraph" w:customStyle="1" w:styleId="msoacetate0">
    <w:name w:val="msoacetate"/>
    <w:basedOn w:val="Normal"/>
    <w:rsid w:val="0098530D"/>
    <w:rPr>
      <w:rFonts w:ascii="TaAoma" w:hAnsi="TaAoma" w:cs="TaAoma"/>
      <w:sz w:val="16"/>
      <w:szCs w:val="20"/>
      <w:lang w:eastAsia="es-MX"/>
    </w:rPr>
  </w:style>
  <w:style w:type="paragraph" w:customStyle="1" w:styleId="msonospacing0">
    <w:name w:val="msonospacing"/>
    <w:rsid w:val="0098530D"/>
    <w:rPr>
      <w:rFonts w:ascii="AdAbe Caslon Pro" w:eastAsia="Times New Roman" w:hAnsi="AdAbe Caslon Pro" w:cs="AdAbe Caslon Pro"/>
      <w:szCs w:val="20"/>
      <w:lang w:val="es-ES_tradnl" w:eastAsia="es-MX"/>
    </w:rPr>
  </w:style>
  <w:style w:type="paragraph" w:customStyle="1" w:styleId="msormpane0">
    <w:name w:val="msormpane"/>
    <w:rsid w:val="0098530D"/>
    <w:rPr>
      <w:rFonts w:ascii="CaAibri" w:eastAsia="Times New Roman" w:hAnsi="CaAibri" w:cs="CaAibri"/>
      <w:sz w:val="22"/>
      <w:szCs w:val="20"/>
      <w:lang w:val="es-ES" w:eastAsia="es-MX"/>
    </w:rPr>
  </w:style>
  <w:style w:type="paragraph" w:customStyle="1" w:styleId="msolistparagraph0">
    <w:name w:val="msolistparagraph"/>
    <w:basedOn w:val="Normal"/>
    <w:rsid w:val="0098530D"/>
    <w:pPr>
      <w:ind w:left="720"/>
    </w:pPr>
    <w:rPr>
      <w:rFonts w:ascii="AdAbe Caslon Pro" w:hAnsi="AdAbe Caslon Pro" w:cs="AdAbe Caslon Pro"/>
      <w:szCs w:val="20"/>
      <w:lang w:val="es-ES_tradnl" w:eastAsia="es-MX"/>
    </w:rPr>
  </w:style>
  <w:style w:type="paragraph" w:customStyle="1" w:styleId="Textodeglobo1">
    <w:name w:val="Texto de globo1"/>
    <w:basedOn w:val="Normal"/>
    <w:rsid w:val="0098530D"/>
    <w:rPr>
      <w:rFonts w:ascii="LuAida Grande" w:hAnsi="LuAida Grande" w:cs="LuAida Grande"/>
      <w:sz w:val="18"/>
      <w:szCs w:val="20"/>
      <w:lang w:val="es-ES_tradnl" w:eastAsia="es-MX"/>
    </w:rPr>
  </w:style>
  <w:style w:type="paragraph" w:customStyle="1" w:styleId="Frotiregular">
    <w:name w:val="Frotiregular"/>
    <w:basedOn w:val="Encabezado"/>
    <w:rsid w:val="0098530D"/>
    <w:pPr>
      <w:tabs>
        <w:tab w:val="clear" w:pos="4419"/>
        <w:tab w:val="clear" w:pos="8838"/>
      </w:tabs>
    </w:pPr>
    <w:rPr>
      <w:rFonts w:ascii="R Arutiger Roman" w:hAnsi="R Arutiger Roman" w:cs="R Arutiger Roman"/>
      <w:szCs w:val="20"/>
      <w:lang w:val="es-ES" w:eastAsia="es-MX"/>
    </w:rPr>
  </w:style>
  <w:style w:type="paragraph" w:customStyle="1" w:styleId="Textodebloque1">
    <w:name w:val="Texto de bloque1"/>
    <w:basedOn w:val="Normal"/>
    <w:rsid w:val="0098530D"/>
    <w:pPr>
      <w:ind w:left="-540" w:right="-702"/>
    </w:pPr>
    <w:rPr>
      <w:rFonts w:ascii="ArAal" w:hAnsi="ArAal" w:cs="ArAal"/>
      <w:sz w:val="22"/>
      <w:szCs w:val="20"/>
      <w:lang w:val="es-ES" w:eastAsia="es-MX"/>
    </w:rPr>
  </w:style>
  <w:style w:type="paragraph" w:customStyle="1" w:styleId="Default">
    <w:name w:val="Default"/>
    <w:rsid w:val="0098530D"/>
    <w:rPr>
      <w:rFonts w:ascii="CoAstantia" w:eastAsia="Times New Roman" w:hAnsi="CoAstantia" w:cs="CoAstantia"/>
      <w:color w:val="000000"/>
      <w:szCs w:val="20"/>
      <w:lang w:eastAsia="es-MX"/>
    </w:rPr>
  </w:style>
  <w:style w:type="paragraph" w:customStyle="1" w:styleId="wordsection1">
    <w:name w:val="wordsection1"/>
    <w:basedOn w:val="Normal"/>
    <w:rsid w:val="0098530D"/>
    <w:rPr>
      <w:rFonts w:ascii="TiAes New Roman" w:hAnsi="TiAes New Roman" w:cs="TiAes New Roman"/>
      <w:sz w:val="22"/>
      <w:szCs w:val="20"/>
      <w:lang w:eastAsia="es-MX"/>
    </w:rPr>
  </w:style>
  <w:style w:type="paragraph" w:customStyle="1" w:styleId="msonormal0">
    <w:name w:val="msonormal"/>
    <w:basedOn w:val="Normal"/>
    <w:rsid w:val="0098530D"/>
    <w:pPr>
      <w:spacing w:before="100" w:after="100"/>
    </w:pPr>
    <w:rPr>
      <w:rFonts w:ascii="TiAes New Roman" w:hAnsi="TiAes New Roman" w:cs="TiAes New Roman"/>
      <w:szCs w:val="20"/>
      <w:lang w:eastAsia="es-MX"/>
    </w:rPr>
  </w:style>
  <w:style w:type="paragraph" w:customStyle="1" w:styleId="font5">
    <w:name w:val="font5"/>
    <w:basedOn w:val="Normal"/>
    <w:rsid w:val="0098530D"/>
    <w:pPr>
      <w:spacing w:before="100" w:after="100"/>
    </w:pPr>
    <w:rPr>
      <w:rFonts w:ascii="ArAal" w:hAnsi="ArAal" w:cs="ArAal"/>
      <w:color w:val="000000"/>
      <w:sz w:val="18"/>
      <w:szCs w:val="20"/>
      <w:lang w:eastAsia="es-MX"/>
    </w:rPr>
  </w:style>
  <w:style w:type="paragraph" w:customStyle="1" w:styleId="xl65">
    <w:name w:val="xl65"/>
    <w:basedOn w:val="Normal"/>
    <w:rsid w:val="0098530D"/>
    <w:pPr>
      <w:spacing w:before="100" w:after="100"/>
    </w:pPr>
    <w:rPr>
      <w:rFonts w:ascii="ArAal" w:hAnsi="ArAal" w:cs="ArAal"/>
      <w:sz w:val="18"/>
      <w:szCs w:val="20"/>
      <w:lang w:eastAsia="es-MX"/>
    </w:rPr>
  </w:style>
  <w:style w:type="paragraph" w:customStyle="1" w:styleId="xl66">
    <w:name w:val="xl66"/>
    <w:basedOn w:val="Normal"/>
    <w:rsid w:val="0098530D"/>
    <w:pPr>
      <w:shd w:val="clear" w:color="auto" w:fill="FFFFFF"/>
      <w:spacing w:before="100" w:after="100"/>
    </w:pPr>
    <w:rPr>
      <w:rFonts w:ascii="ArAal" w:hAnsi="ArAal" w:cs="ArAal"/>
      <w:sz w:val="18"/>
      <w:szCs w:val="20"/>
      <w:lang w:eastAsia="es-MX"/>
    </w:rPr>
  </w:style>
  <w:style w:type="paragraph" w:customStyle="1" w:styleId="xl67">
    <w:name w:val="xl67"/>
    <w:basedOn w:val="Normal"/>
    <w:rsid w:val="0098530D"/>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eastAsia="es-MX"/>
    </w:rPr>
  </w:style>
  <w:style w:type="paragraph" w:customStyle="1" w:styleId="xl68">
    <w:name w:val="xl68"/>
    <w:basedOn w:val="Normal"/>
    <w:rsid w:val="0098530D"/>
    <w:pPr>
      <w:pBdr>
        <w:top w:val="single" w:sz="6" w:space="0" w:color="auto"/>
        <w:left w:val="single" w:sz="6" w:space="0" w:color="auto"/>
        <w:bottom w:val="single" w:sz="6" w:space="0" w:color="auto"/>
        <w:right w:val="single" w:sz="6" w:space="0" w:color="auto"/>
      </w:pBdr>
      <w:shd w:val="clear" w:color="auto" w:fill="FFFFFF"/>
      <w:spacing w:before="100" w:after="100"/>
    </w:pPr>
    <w:rPr>
      <w:rFonts w:ascii="ArAal" w:hAnsi="ArAal" w:cs="ArAal"/>
      <w:sz w:val="18"/>
      <w:szCs w:val="20"/>
      <w:lang w:eastAsia="es-MX"/>
    </w:rPr>
  </w:style>
  <w:style w:type="paragraph" w:customStyle="1" w:styleId="xl69">
    <w:name w:val="xl69"/>
    <w:basedOn w:val="Normal"/>
    <w:rsid w:val="0098530D"/>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sz w:val="18"/>
      <w:szCs w:val="20"/>
      <w:lang w:eastAsia="es-MX"/>
    </w:rPr>
  </w:style>
  <w:style w:type="paragraph" w:customStyle="1" w:styleId="xl70">
    <w:name w:val="xl70"/>
    <w:basedOn w:val="Normal"/>
    <w:rsid w:val="0098530D"/>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eastAsia="es-MX"/>
    </w:rPr>
  </w:style>
  <w:style w:type="paragraph" w:customStyle="1" w:styleId="xl71">
    <w:name w:val="xl71"/>
    <w:basedOn w:val="Normal"/>
    <w:rsid w:val="0098530D"/>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eastAsia="es-MX"/>
    </w:rPr>
  </w:style>
  <w:style w:type="paragraph" w:customStyle="1" w:styleId="xl72">
    <w:name w:val="xl72"/>
    <w:basedOn w:val="Normal"/>
    <w:rsid w:val="0098530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b/>
      <w:sz w:val="18"/>
      <w:szCs w:val="20"/>
      <w:lang w:eastAsia="es-MX"/>
    </w:rPr>
  </w:style>
  <w:style w:type="paragraph" w:customStyle="1" w:styleId="xl73">
    <w:name w:val="xl73"/>
    <w:basedOn w:val="Normal"/>
    <w:rsid w:val="0098530D"/>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74">
    <w:name w:val="xl74"/>
    <w:basedOn w:val="Normal"/>
    <w:rsid w:val="0098530D"/>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75">
    <w:name w:val="xl75"/>
    <w:basedOn w:val="Normal"/>
    <w:rsid w:val="0098530D"/>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76">
    <w:name w:val="xl76"/>
    <w:basedOn w:val="Normal"/>
    <w:rsid w:val="0098530D"/>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77">
    <w:name w:val="xl77"/>
    <w:basedOn w:val="Normal"/>
    <w:rsid w:val="0098530D"/>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78">
    <w:name w:val="xl78"/>
    <w:basedOn w:val="Normal"/>
    <w:rsid w:val="0098530D"/>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79">
    <w:name w:val="xl79"/>
    <w:basedOn w:val="Normal"/>
    <w:rsid w:val="0098530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80">
    <w:name w:val="xl80"/>
    <w:basedOn w:val="Normal"/>
    <w:rsid w:val="0098530D"/>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eastAsia="es-MX"/>
    </w:rPr>
  </w:style>
  <w:style w:type="paragraph" w:customStyle="1" w:styleId="xl81">
    <w:name w:val="xl81"/>
    <w:basedOn w:val="Normal"/>
    <w:rsid w:val="0098530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82">
    <w:name w:val="xl82"/>
    <w:basedOn w:val="Normal"/>
    <w:rsid w:val="0098530D"/>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eastAsia="es-MX"/>
    </w:rPr>
  </w:style>
  <w:style w:type="paragraph" w:customStyle="1" w:styleId="xl83">
    <w:name w:val="xl83"/>
    <w:basedOn w:val="Normal"/>
    <w:rsid w:val="0098530D"/>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84">
    <w:name w:val="xl84"/>
    <w:basedOn w:val="Normal"/>
    <w:rsid w:val="0098530D"/>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eastAsia="es-MX"/>
    </w:rPr>
  </w:style>
  <w:style w:type="paragraph" w:customStyle="1" w:styleId="xl85">
    <w:name w:val="xl85"/>
    <w:basedOn w:val="Normal"/>
    <w:rsid w:val="0098530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86">
    <w:name w:val="xl86"/>
    <w:basedOn w:val="Normal"/>
    <w:rsid w:val="0098530D"/>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87">
    <w:name w:val="xl87"/>
    <w:basedOn w:val="Normal"/>
    <w:rsid w:val="0098530D"/>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88">
    <w:name w:val="xl88"/>
    <w:basedOn w:val="Normal"/>
    <w:rsid w:val="0098530D"/>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eastAsia="es-MX"/>
    </w:rPr>
  </w:style>
  <w:style w:type="paragraph" w:customStyle="1" w:styleId="xl89">
    <w:name w:val="xl89"/>
    <w:basedOn w:val="Normal"/>
    <w:rsid w:val="0098530D"/>
    <w:pPr>
      <w:pBdr>
        <w:top w:val="single" w:sz="6" w:space="0" w:color="auto"/>
        <w:bottom w:val="single" w:sz="6" w:space="0" w:color="auto"/>
      </w:pBdr>
      <w:spacing w:before="100" w:after="100"/>
      <w:jc w:val="center"/>
    </w:pPr>
    <w:rPr>
      <w:rFonts w:ascii="ArAal" w:hAnsi="ArAal" w:cs="ArAal"/>
      <w:color w:val="000000"/>
      <w:sz w:val="18"/>
      <w:szCs w:val="20"/>
      <w:lang w:eastAsia="es-MX"/>
    </w:rPr>
  </w:style>
  <w:style w:type="paragraph" w:customStyle="1" w:styleId="xl90">
    <w:name w:val="xl90"/>
    <w:basedOn w:val="Normal"/>
    <w:rsid w:val="0098530D"/>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91">
    <w:name w:val="xl91"/>
    <w:basedOn w:val="Normal"/>
    <w:rsid w:val="0098530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92">
    <w:name w:val="xl92"/>
    <w:basedOn w:val="Normal"/>
    <w:rsid w:val="0098530D"/>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93">
    <w:name w:val="xl93"/>
    <w:basedOn w:val="Normal"/>
    <w:rsid w:val="0098530D"/>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94">
    <w:name w:val="xl94"/>
    <w:basedOn w:val="Normal"/>
    <w:rsid w:val="0098530D"/>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eastAsia="es-MX"/>
    </w:rPr>
  </w:style>
  <w:style w:type="paragraph" w:customStyle="1" w:styleId="xl95">
    <w:name w:val="xl95"/>
    <w:basedOn w:val="Normal"/>
    <w:rsid w:val="0098530D"/>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eastAsia="es-MX"/>
    </w:rPr>
  </w:style>
  <w:style w:type="paragraph" w:customStyle="1" w:styleId="xl96">
    <w:name w:val="xl96"/>
    <w:basedOn w:val="Normal"/>
    <w:rsid w:val="0098530D"/>
    <w:pPr>
      <w:pBdr>
        <w:top w:val="single" w:sz="6" w:space="0" w:color="auto"/>
        <w:bottom w:val="single" w:sz="6" w:space="0" w:color="auto"/>
      </w:pBdr>
      <w:spacing w:before="100" w:after="100"/>
      <w:jc w:val="center"/>
    </w:pPr>
    <w:rPr>
      <w:rFonts w:ascii="ArAal" w:hAnsi="ArAal" w:cs="ArAal"/>
      <w:color w:val="000000"/>
      <w:sz w:val="18"/>
      <w:szCs w:val="20"/>
      <w:lang w:eastAsia="es-MX"/>
    </w:rPr>
  </w:style>
  <w:style w:type="paragraph" w:customStyle="1" w:styleId="xl97">
    <w:name w:val="xl97"/>
    <w:basedOn w:val="Normal"/>
    <w:rsid w:val="0098530D"/>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98">
    <w:name w:val="xl98"/>
    <w:basedOn w:val="Normal"/>
    <w:rsid w:val="0098530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99">
    <w:name w:val="xl99"/>
    <w:basedOn w:val="Normal"/>
    <w:rsid w:val="0098530D"/>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100">
    <w:name w:val="xl100"/>
    <w:basedOn w:val="Normal"/>
    <w:rsid w:val="0098530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101">
    <w:name w:val="xl101"/>
    <w:basedOn w:val="Normal"/>
    <w:rsid w:val="0098530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102">
    <w:name w:val="xl102"/>
    <w:basedOn w:val="Normal"/>
    <w:rsid w:val="0098530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103">
    <w:name w:val="xl103"/>
    <w:basedOn w:val="Normal"/>
    <w:rsid w:val="0098530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104">
    <w:name w:val="xl104"/>
    <w:basedOn w:val="Normal"/>
    <w:rsid w:val="0098530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Sumario">
    <w:name w:val="Sumario"/>
    <w:basedOn w:val="Normal"/>
    <w:rsid w:val="0098530D"/>
    <w:pPr>
      <w:tabs>
        <w:tab w:val="right" w:leader="dot" w:pos="8107"/>
        <w:tab w:val="right" w:pos="8640"/>
      </w:tabs>
      <w:spacing w:line="260" w:lineRule="exact"/>
      <w:ind w:left="274" w:right="749"/>
      <w:jc w:val="both"/>
    </w:pPr>
    <w:rPr>
      <w:rFonts w:ascii="ArAal" w:hAnsi="ArAal" w:cs="ArAal"/>
      <w:sz w:val="18"/>
      <w:szCs w:val="20"/>
      <w:lang w:val="es-ES" w:eastAsia="es-MX"/>
    </w:rPr>
  </w:style>
  <w:style w:type="paragraph" w:customStyle="1" w:styleId="Secreta">
    <w:name w:val="Secreta"/>
    <w:basedOn w:val="Normal"/>
    <w:rsid w:val="0098530D"/>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xmsonormal">
    <w:name w:val="x_msonormal"/>
    <w:basedOn w:val="Normal"/>
    <w:rsid w:val="0098530D"/>
    <w:rPr>
      <w:rFonts w:ascii="CaAibri" w:hAnsi="CaAibri" w:cs="CaAibri"/>
      <w:sz w:val="22"/>
      <w:szCs w:val="20"/>
      <w:lang w:eastAsia="es-MX"/>
    </w:rPr>
  </w:style>
  <w:style w:type="paragraph" w:customStyle="1" w:styleId="Textodeglobo2">
    <w:name w:val="Texto de globo2"/>
    <w:basedOn w:val="Normal"/>
    <w:rsid w:val="0098530D"/>
    <w:pPr>
      <w:spacing w:after="200" w:line="276" w:lineRule="atLeast"/>
    </w:pPr>
    <w:rPr>
      <w:rFonts w:ascii="TaAoma" w:hAnsi="TaAoma" w:cs="TaAoma"/>
      <w:sz w:val="16"/>
      <w:szCs w:val="20"/>
      <w:lang w:eastAsia="es-MX"/>
    </w:rPr>
  </w:style>
  <w:style w:type="paragraph" w:customStyle="1" w:styleId="Prrafodelista1">
    <w:name w:val="Párrafo de lista1"/>
    <w:basedOn w:val="Normal"/>
    <w:rsid w:val="0098530D"/>
    <w:pPr>
      <w:spacing w:after="200" w:line="276" w:lineRule="atLeast"/>
    </w:pPr>
    <w:rPr>
      <w:rFonts w:ascii="CaAibri" w:hAnsi="CaAibri" w:cs="CaAibri"/>
      <w:sz w:val="22"/>
      <w:szCs w:val="20"/>
      <w:lang w:eastAsia="es-MX"/>
    </w:rPr>
  </w:style>
  <w:style w:type="paragraph" w:customStyle="1" w:styleId="TableParagraph">
    <w:name w:val="Table Paragraph"/>
    <w:basedOn w:val="Normal"/>
    <w:rsid w:val="0098530D"/>
    <w:rPr>
      <w:rFonts w:ascii="CaAibri" w:hAnsi="CaAibri" w:cs="CaAibri"/>
      <w:sz w:val="22"/>
      <w:szCs w:val="20"/>
      <w:lang w:val="en-US" w:eastAsia="es-MX"/>
    </w:rPr>
  </w:style>
  <w:style w:type="paragraph" w:styleId="Sinespaciado">
    <w:name w:val="No Spacing"/>
    <w:qFormat/>
    <w:rsid w:val="0098530D"/>
    <w:rPr>
      <w:rFonts w:ascii="CaAibri" w:eastAsia="Times New Roman" w:hAnsi="CaAibri" w:cs="CaAibri"/>
      <w:sz w:val="22"/>
      <w:szCs w:val="20"/>
      <w:lang w:eastAsia="es-MX"/>
    </w:rPr>
  </w:style>
  <w:style w:type="paragraph" w:customStyle="1" w:styleId="EstiloArialJustificado">
    <w:name w:val="Estilo Arial Justificado"/>
    <w:basedOn w:val="Normal"/>
    <w:rsid w:val="0098530D"/>
    <w:pPr>
      <w:ind w:right="-81"/>
      <w:jc w:val="both"/>
    </w:pPr>
    <w:rPr>
      <w:rFonts w:ascii="ArAal" w:hAnsi="ArAal" w:cs="ArAal"/>
      <w:szCs w:val="20"/>
      <w:lang w:val="es-ES" w:eastAsia="es-MX"/>
    </w:rPr>
  </w:style>
  <w:style w:type="paragraph" w:customStyle="1" w:styleId="EstiloArialIzquierda">
    <w:name w:val="Estilo Arial Izquierda:"/>
    <w:basedOn w:val="Normal"/>
    <w:rsid w:val="0098530D"/>
    <w:pPr>
      <w:ind w:left="1800" w:right="3519"/>
    </w:pPr>
    <w:rPr>
      <w:rFonts w:ascii="ArAal" w:hAnsi="ArAal" w:cs="ArAal"/>
      <w:sz w:val="22"/>
      <w:szCs w:val="20"/>
      <w:lang w:val="es-ES" w:eastAsia="es-MX"/>
    </w:rPr>
  </w:style>
  <w:style w:type="paragraph" w:customStyle="1" w:styleId="EstiloArialNegritaIzq">
    <w:name w:val="Estilo Arial Negrita Izq"/>
    <w:basedOn w:val="Normal"/>
    <w:rsid w:val="0098530D"/>
    <w:pPr>
      <w:ind w:left="1800" w:right="2799"/>
    </w:pPr>
    <w:rPr>
      <w:rFonts w:ascii="ArAal" w:hAnsi="ArAal" w:cs="ArAal"/>
      <w:b/>
      <w:sz w:val="22"/>
      <w:szCs w:val="20"/>
      <w:lang w:val="es-ES" w:eastAsia="es-MX"/>
    </w:rPr>
  </w:style>
  <w:style w:type="paragraph" w:customStyle="1" w:styleId="EstiloArialNegritaJus">
    <w:name w:val="Estilo Arial Negrita Jus"/>
    <w:basedOn w:val="Normal"/>
    <w:rsid w:val="0098530D"/>
    <w:pPr>
      <w:ind w:left="1800" w:right="279"/>
      <w:jc w:val="both"/>
    </w:pPr>
    <w:rPr>
      <w:rFonts w:ascii="ArAal" w:hAnsi="ArAal" w:cs="ArAal"/>
      <w:b/>
      <w:sz w:val="22"/>
      <w:szCs w:val="20"/>
      <w:lang w:val="es-ES" w:eastAsia="es-MX"/>
    </w:rPr>
  </w:style>
  <w:style w:type="paragraph" w:customStyle="1" w:styleId="EstiloArialNegrita000">
    <w:name w:val="Estilo Arial Negrita 000"/>
    <w:basedOn w:val="Normal"/>
    <w:rsid w:val="0098530D"/>
    <w:pPr>
      <w:ind w:right="-81"/>
      <w:jc w:val="both"/>
    </w:pPr>
    <w:rPr>
      <w:rFonts w:ascii="ArAal" w:hAnsi="ArAal" w:cs="ArAal"/>
      <w:b/>
      <w:sz w:val="22"/>
      <w:szCs w:val="20"/>
      <w:lang w:val="es-ES" w:eastAsia="es-MX"/>
    </w:rPr>
  </w:style>
  <w:style w:type="paragraph" w:customStyle="1" w:styleId="EstiloArialCentrado">
    <w:name w:val="Estilo Arial Centrado"/>
    <w:basedOn w:val="Normal"/>
    <w:rsid w:val="0098530D"/>
    <w:pPr>
      <w:jc w:val="center"/>
    </w:pPr>
    <w:rPr>
      <w:rFonts w:ascii="ArAal" w:hAnsi="ArAal" w:cs="ArAal"/>
      <w:sz w:val="22"/>
      <w:szCs w:val="20"/>
      <w:lang w:val="es-ES" w:eastAsia="es-MX"/>
    </w:rPr>
  </w:style>
  <w:style w:type="paragraph" w:customStyle="1" w:styleId="FirmaDespacho">
    <w:name w:val="Firma Despacho"/>
    <w:basedOn w:val="Normal"/>
    <w:rsid w:val="0098530D"/>
    <w:pPr>
      <w:spacing w:line="240" w:lineRule="exact"/>
      <w:ind w:left="5245"/>
    </w:pPr>
    <w:rPr>
      <w:rFonts w:ascii="SoAerana Sans" w:hAnsi="SoAerana Sans" w:cs="SoAerana Sans"/>
      <w:b/>
      <w:color w:val="000000"/>
      <w:sz w:val="20"/>
      <w:szCs w:val="20"/>
      <w:lang w:eastAsia="es-MX"/>
    </w:rPr>
  </w:style>
  <w:style w:type="paragraph" w:customStyle="1" w:styleId="BalloonText">
    <w:name w:val="Balloon Text"/>
    <w:basedOn w:val="Normal"/>
    <w:rsid w:val="0098530D"/>
    <w:rPr>
      <w:rFonts w:ascii="SeAoe UI" w:hAnsi="SeAoe UI" w:cs="SeAoe UI"/>
      <w:sz w:val="18"/>
      <w:szCs w:val="20"/>
      <w:lang w:val="es-ES" w:eastAsia="es-MX"/>
    </w:rPr>
  </w:style>
  <w:style w:type="paragraph" w:customStyle="1" w:styleId="Sangra2detindepend">
    <w:name w:val="Sangría 2 de t. independ"/>
    <w:basedOn w:val="Normal"/>
    <w:rsid w:val="0098530D"/>
    <w:pPr>
      <w:spacing w:after="120" w:line="480" w:lineRule="atLeast"/>
      <w:ind w:left="283"/>
    </w:pPr>
    <w:rPr>
      <w:rFonts w:ascii="TiAes New Roman" w:hAnsi="TiAes New Roman" w:cs="TiAes New Roman"/>
      <w:szCs w:val="20"/>
      <w:lang w:val="es-ES" w:eastAsia="es-MX"/>
    </w:rPr>
  </w:style>
  <w:style w:type="paragraph" w:customStyle="1" w:styleId="Blockquote">
    <w:name w:val="Blockquote"/>
    <w:basedOn w:val="Normal"/>
    <w:rsid w:val="0098530D"/>
    <w:pPr>
      <w:spacing w:before="100" w:after="100"/>
      <w:ind w:left="360" w:right="360"/>
    </w:pPr>
    <w:rPr>
      <w:rFonts w:ascii="TiAes New Roman" w:hAnsi="TiAes New Roman" w:cs="TiAes New Roman"/>
      <w:szCs w:val="20"/>
      <w:lang w:eastAsia="es-MX"/>
    </w:rPr>
  </w:style>
  <w:style w:type="paragraph" w:customStyle="1" w:styleId="Ttulo10">
    <w:name w:val="Título1"/>
    <w:basedOn w:val="Normal"/>
    <w:rsid w:val="0098530D"/>
    <w:pPr>
      <w:spacing w:before="240" w:after="60"/>
      <w:jc w:val="center"/>
    </w:pPr>
    <w:rPr>
      <w:rFonts w:ascii="ArAal" w:hAnsi="ArAal" w:cs="ArAal"/>
      <w:b/>
      <w:sz w:val="32"/>
      <w:szCs w:val="20"/>
      <w:lang w:eastAsia="es-MX"/>
    </w:rPr>
  </w:style>
  <w:style w:type="paragraph" w:customStyle="1" w:styleId="centneg">
    <w:name w:val="centneg"/>
    <w:basedOn w:val="texto0"/>
    <w:rsid w:val="0098530D"/>
    <w:pPr>
      <w:spacing w:line="216" w:lineRule="atLeast"/>
      <w:ind w:firstLine="0"/>
      <w:jc w:val="center"/>
    </w:pPr>
    <w:rPr>
      <w:b/>
      <w:lang w:val="es-ES_tradnl"/>
    </w:rPr>
  </w:style>
  <w:style w:type="paragraph" w:customStyle="1" w:styleId="66">
    <w:name w:val="66"/>
    <w:basedOn w:val="Normal"/>
    <w:rsid w:val="0098530D"/>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98530D"/>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98530D"/>
    <w:pPr>
      <w:ind w:left="6030" w:hanging="6030"/>
    </w:pPr>
  </w:style>
  <w:style w:type="paragraph" w:customStyle="1" w:styleId="Textoindependiente31">
    <w:name w:val="Texto independiente 31"/>
    <w:basedOn w:val="Normal"/>
    <w:rsid w:val="0098530D"/>
    <w:pPr>
      <w:jc w:val="both"/>
    </w:pPr>
    <w:rPr>
      <w:rFonts w:ascii="ArAal" w:hAnsi="ArAal" w:cs="ArAal"/>
      <w:sz w:val="20"/>
      <w:szCs w:val="20"/>
      <w:lang w:val="es-ES" w:eastAsia="es-MX"/>
    </w:rPr>
  </w:style>
  <w:style w:type="paragraph" w:customStyle="1" w:styleId="3">
    <w:name w:val="3"/>
    <w:basedOn w:val="texto0"/>
    <w:rsid w:val="0098530D"/>
    <w:pPr>
      <w:spacing w:line="216" w:lineRule="atLeast"/>
      <w:ind w:left="1710" w:hanging="540"/>
    </w:pPr>
    <w:rPr>
      <w:lang w:val="es-ES_tradnl"/>
    </w:rPr>
  </w:style>
  <w:style w:type="paragraph" w:customStyle="1" w:styleId="OmniPage13">
    <w:name w:val="OmniPage #13"/>
    <w:basedOn w:val="Normal"/>
    <w:rsid w:val="0098530D"/>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98530D"/>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98530D"/>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98530D"/>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98530D"/>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98530D"/>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98530D"/>
    <w:rPr>
      <w:rFonts w:ascii="TiAes New Roman" w:hAnsi="TiAes New Roman" w:cs="TiAes New Roman"/>
      <w:szCs w:val="20"/>
      <w:lang w:val="es-ES_tradnl" w:eastAsia="es-MX"/>
    </w:rPr>
  </w:style>
  <w:style w:type="paragraph" w:customStyle="1" w:styleId="OmniPage28">
    <w:name w:val="OmniPage #28"/>
    <w:basedOn w:val="Normal"/>
    <w:rsid w:val="0098530D"/>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98530D"/>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98530D"/>
    <w:pPr>
      <w:pBdr>
        <w:left w:val="single" w:sz="6" w:space="0" w:color="auto"/>
      </w:pBdr>
      <w:spacing w:before="100" w:after="100"/>
      <w:jc w:val="right"/>
    </w:pPr>
    <w:rPr>
      <w:rFonts w:ascii="ArAal" w:hAnsi="ArAal" w:cs="ArAal"/>
      <w:sz w:val="18"/>
      <w:szCs w:val="20"/>
      <w:lang w:val="es-ES" w:eastAsia="es-MX"/>
    </w:rPr>
  </w:style>
  <w:style w:type="paragraph" w:customStyle="1" w:styleId="Listacontinua3">
    <w:name w:val="Lista continua 3"/>
    <w:basedOn w:val="Normal"/>
    <w:rsid w:val="0098530D"/>
    <w:pPr>
      <w:spacing w:after="120"/>
      <w:ind w:left="283"/>
    </w:pPr>
    <w:rPr>
      <w:rFonts w:ascii="TiAes New Roman" w:hAnsi="TiAes New Roman" w:cs="TiAes New Roman"/>
      <w:sz w:val="20"/>
      <w:szCs w:val="20"/>
      <w:lang w:val="es-ES" w:eastAsia="es-MX"/>
    </w:rPr>
  </w:style>
  <w:style w:type="paragraph" w:customStyle="1" w:styleId="Listacontinua4">
    <w:name w:val="Lista continua 4"/>
    <w:basedOn w:val="Normal"/>
    <w:rsid w:val="0098530D"/>
    <w:pPr>
      <w:spacing w:after="120"/>
      <w:ind w:left="566"/>
    </w:pPr>
    <w:rPr>
      <w:rFonts w:ascii="TiAes New Roman" w:hAnsi="TiAes New Roman" w:cs="TiAes New Roman"/>
      <w:sz w:val="20"/>
      <w:szCs w:val="20"/>
      <w:lang w:val="es-ES" w:eastAsia="es-MX"/>
    </w:rPr>
  </w:style>
  <w:style w:type="paragraph" w:customStyle="1" w:styleId="Listacontinua5">
    <w:name w:val="Lista continua 5"/>
    <w:basedOn w:val="Normal"/>
    <w:rsid w:val="0098530D"/>
    <w:pPr>
      <w:spacing w:after="120"/>
      <w:ind w:left="849"/>
    </w:pPr>
    <w:rPr>
      <w:rFonts w:ascii="TiAes New Roman" w:hAnsi="TiAes New Roman" w:cs="TiAes New Roman"/>
      <w:sz w:val="20"/>
      <w:szCs w:val="20"/>
      <w:lang w:val="es-ES" w:eastAsia="es-MX"/>
    </w:rPr>
  </w:style>
  <w:style w:type="paragraph" w:customStyle="1" w:styleId="Listacontinua">
    <w:name w:val="Lista continua"/>
    <w:basedOn w:val="Normal"/>
    <w:rsid w:val="0098530D"/>
    <w:pPr>
      <w:spacing w:after="120"/>
      <w:ind w:left="1132"/>
    </w:pPr>
    <w:rPr>
      <w:rFonts w:ascii="TiAes New Roman" w:hAnsi="TiAes New Roman" w:cs="TiAes New Roman"/>
      <w:sz w:val="20"/>
      <w:szCs w:val="20"/>
      <w:lang w:val="es-ES" w:eastAsia="es-MX"/>
    </w:rPr>
  </w:style>
  <w:style w:type="paragraph" w:customStyle="1" w:styleId="Listanumerada2">
    <w:name w:val="Lista numerada 2"/>
    <w:basedOn w:val="Normal"/>
    <w:rsid w:val="0098530D"/>
    <w:pPr>
      <w:spacing w:after="120"/>
      <w:ind w:left="1415"/>
    </w:pPr>
    <w:rPr>
      <w:rFonts w:ascii="TiAes New Roman" w:hAnsi="TiAes New Roman" w:cs="TiAes New Roman"/>
      <w:sz w:val="20"/>
      <w:szCs w:val="20"/>
      <w:lang w:val="es-ES" w:eastAsia="es-MX"/>
    </w:rPr>
  </w:style>
  <w:style w:type="paragraph" w:customStyle="1" w:styleId="DireccinHTML1">
    <w:name w:val="Dirección HTML1"/>
    <w:basedOn w:val="Normal"/>
    <w:rsid w:val="0098530D"/>
    <w:rPr>
      <w:rFonts w:ascii="TiAes New Roman" w:hAnsi="TiAes New Roman" w:cs="TiAes New Roman"/>
      <w:i/>
      <w:sz w:val="20"/>
      <w:szCs w:val="20"/>
      <w:lang w:val="es-ES" w:eastAsia="es-MX"/>
    </w:rPr>
  </w:style>
  <w:style w:type="paragraph" w:customStyle="1" w:styleId="Direccin">
    <w:name w:val="Dirección"/>
    <w:basedOn w:val="Normal"/>
    <w:rsid w:val="0098530D"/>
    <w:pPr>
      <w:framePr w:w="7920" w:h="1980" w:hRule="exact" w:hSpace="141" w:wrap="auto" w:hAnchor="page" w:xAlign="center" w:yAlign="bottom"/>
      <w:ind w:left="2880"/>
    </w:pPr>
    <w:rPr>
      <w:rFonts w:ascii="ArAal" w:hAnsi="ArAal" w:cs="ArAal"/>
      <w:szCs w:val="20"/>
      <w:lang w:val="es-ES" w:eastAsia="es-MX"/>
    </w:rPr>
  </w:style>
  <w:style w:type="paragraph" w:customStyle="1" w:styleId="Encabezadodetda">
    <w:name w:val="Encabezado de tda"/>
    <w:basedOn w:val="Normal"/>
    <w:next w:val="Normal"/>
    <w:rsid w:val="0098530D"/>
    <w:pPr>
      <w:spacing w:before="120"/>
    </w:pPr>
    <w:rPr>
      <w:rFonts w:ascii="ArAal" w:hAnsi="ArAal" w:cs="ArAal"/>
      <w:b/>
      <w:szCs w:val="20"/>
      <w:lang w:val="es-ES" w:eastAsia="es-MX"/>
    </w:rPr>
  </w:style>
  <w:style w:type="paragraph" w:customStyle="1" w:styleId="Encabezadodelmensaje">
    <w:name w:val="Encabezado del mensaje"/>
    <w:basedOn w:val="Normal"/>
    <w:rsid w:val="0098530D"/>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val="es-ES" w:eastAsia="es-MX"/>
    </w:rPr>
  </w:style>
  <w:style w:type="paragraph" w:customStyle="1" w:styleId="Encabezadodenota1">
    <w:name w:val="Encabezado de nota1"/>
    <w:basedOn w:val="Normal"/>
    <w:next w:val="Normal"/>
    <w:rsid w:val="0098530D"/>
    <w:rPr>
      <w:rFonts w:ascii="TiAes New Roman" w:hAnsi="TiAes New Roman" w:cs="TiAes New Roman"/>
      <w:sz w:val="20"/>
      <w:szCs w:val="20"/>
      <w:lang w:val="es-ES" w:eastAsia="es-MX"/>
    </w:rPr>
  </w:style>
  <w:style w:type="paragraph" w:customStyle="1" w:styleId="1">
    <w:name w:val="1"/>
    <w:basedOn w:val="Normal"/>
    <w:next w:val="Normal"/>
    <w:rsid w:val="0098530D"/>
    <w:pPr>
      <w:spacing w:before="120" w:after="120"/>
    </w:pPr>
    <w:rPr>
      <w:rFonts w:ascii="TiAes New Roman" w:hAnsi="TiAes New Roman" w:cs="TiAes New Roman"/>
      <w:b/>
      <w:sz w:val="20"/>
      <w:szCs w:val="20"/>
      <w:lang w:val="es-ES" w:eastAsia="es-MX"/>
    </w:rPr>
  </w:style>
  <w:style w:type="paragraph" w:customStyle="1" w:styleId="Fecha1">
    <w:name w:val="Fecha1"/>
    <w:basedOn w:val="Normal"/>
    <w:next w:val="Normal"/>
    <w:rsid w:val="0098530D"/>
    <w:rPr>
      <w:rFonts w:ascii="TiAes New Roman" w:hAnsi="TiAes New Roman" w:cs="TiAes New Roman"/>
      <w:sz w:val="20"/>
      <w:szCs w:val="20"/>
      <w:lang w:val="es-ES" w:eastAsia="es-MX"/>
    </w:rPr>
  </w:style>
  <w:style w:type="paragraph" w:customStyle="1" w:styleId="Firmadecorreoelectrn">
    <w:name w:val="Firma de correo electrón"/>
    <w:basedOn w:val="Normal"/>
    <w:rsid w:val="0098530D"/>
    <w:rPr>
      <w:rFonts w:ascii="TiAes New Roman" w:hAnsi="TiAes New Roman" w:cs="TiAes New Roman"/>
      <w:sz w:val="20"/>
      <w:szCs w:val="20"/>
      <w:lang w:val="es-ES" w:eastAsia="es-MX"/>
    </w:rPr>
  </w:style>
  <w:style w:type="paragraph" w:customStyle="1" w:styleId="HTMLconformatoprevio1">
    <w:name w:val="HTML con formato previo1"/>
    <w:basedOn w:val="Normal"/>
    <w:rsid w:val="0098530D"/>
    <w:rPr>
      <w:rFonts w:ascii="CoArier New" w:hAnsi="CoArier New" w:cs="CoArier New"/>
      <w:sz w:val="20"/>
      <w:szCs w:val="20"/>
      <w:lang w:val="es-ES" w:eastAsia="es-MX"/>
    </w:rPr>
  </w:style>
  <w:style w:type="paragraph" w:customStyle="1" w:styleId="ndice81">
    <w:name w:val="Índice 81"/>
    <w:basedOn w:val="Normal"/>
    <w:next w:val="Normal"/>
    <w:rsid w:val="0098530D"/>
    <w:pPr>
      <w:ind w:left="1600" w:hanging="200"/>
    </w:pPr>
    <w:rPr>
      <w:rFonts w:ascii="TiAes New Roman" w:hAnsi="TiAes New Roman" w:cs="TiAes New Roman"/>
      <w:sz w:val="20"/>
      <w:szCs w:val="20"/>
      <w:lang w:val="es-ES" w:eastAsia="es-MX"/>
    </w:rPr>
  </w:style>
  <w:style w:type="paragraph" w:customStyle="1" w:styleId="ndice91">
    <w:name w:val="Índice 91"/>
    <w:basedOn w:val="Normal"/>
    <w:next w:val="Normal"/>
    <w:rsid w:val="0098530D"/>
    <w:pPr>
      <w:ind w:left="1800" w:hanging="200"/>
    </w:pPr>
    <w:rPr>
      <w:rFonts w:ascii="TiAes New Roman" w:hAnsi="TiAes New Roman" w:cs="TiAes New Roman"/>
      <w:sz w:val="20"/>
      <w:szCs w:val="20"/>
      <w:lang w:val="es-ES" w:eastAsia="es-MX"/>
    </w:rPr>
  </w:style>
  <w:style w:type="paragraph" w:customStyle="1" w:styleId="Listanumerada3">
    <w:name w:val="Lista numerada 3"/>
    <w:basedOn w:val="Normal"/>
    <w:rsid w:val="0098530D"/>
    <w:pPr>
      <w:tabs>
        <w:tab w:val="left" w:pos="360"/>
      </w:tabs>
      <w:ind w:left="360" w:hanging="360"/>
    </w:pPr>
    <w:rPr>
      <w:rFonts w:ascii="TiAes New Roman" w:hAnsi="TiAes New Roman" w:cs="TiAes New Roman"/>
      <w:sz w:val="20"/>
      <w:szCs w:val="20"/>
      <w:lang w:val="es-ES" w:eastAsia="es-MX"/>
    </w:rPr>
  </w:style>
  <w:style w:type="paragraph" w:customStyle="1" w:styleId="Listanumerada4">
    <w:name w:val="Lista numerada 4"/>
    <w:basedOn w:val="Normal"/>
    <w:rsid w:val="0098530D"/>
    <w:pPr>
      <w:tabs>
        <w:tab w:val="left" w:pos="643"/>
      </w:tabs>
      <w:ind w:left="643" w:hanging="360"/>
    </w:pPr>
    <w:rPr>
      <w:rFonts w:ascii="TiAes New Roman" w:hAnsi="TiAes New Roman" w:cs="TiAes New Roman"/>
      <w:sz w:val="20"/>
      <w:szCs w:val="20"/>
      <w:lang w:val="es-ES" w:eastAsia="es-MX"/>
    </w:rPr>
  </w:style>
  <w:style w:type="paragraph" w:customStyle="1" w:styleId="Listanumerada5">
    <w:name w:val="Lista numerada 5"/>
    <w:basedOn w:val="Normal"/>
    <w:rsid w:val="0098530D"/>
    <w:pPr>
      <w:tabs>
        <w:tab w:val="left" w:pos="926"/>
      </w:tabs>
      <w:ind w:left="926" w:hanging="360"/>
    </w:pPr>
    <w:rPr>
      <w:rFonts w:ascii="TiAes New Roman" w:hAnsi="TiAes New Roman" w:cs="TiAes New Roman"/>
      <w:sz w:val="20"/>
      <w:szCs w:val="20"/>
      <w:lang w:val="es-ES" w:eastAsia="es-MX"/>
    </w:rPr>
  </w:style>
  <w:style w:type="paragraph" w:customStyle="1" w:styleId="Listanumerada">
    <w:name w:val="Lista numerada"/>
    <w:basedOn w:val="Normal"/>
    <w:rsid w:val="0098530D"/>
    <w:pPr>
      <w:tabs>
        <w:tab w:val="left" w:pos="1209"/>
      </w:tabs>
      <w:ind w:left="1209" w:hanging="360"/>
    </w:pPr>
    <w:rPr>
      <w:rFonts w:ascii="TiAes New Roman" w:hAnsi="TiAes New Roman" w:cs="TiAes New Roman"/>
      <w:sz w:val="20"/>
      <w:szCs w:val="20"/>
      <w:lang w:val="es-ES" w:eastAsia="es-MX"/>
    </w:rPr>
  </w:style>
  <w:style w:type="paragraph" w:styleId="Lista3">
    <w:name w:val="List 3"/>
    <w:basedOn w:val="Normal"/>
    <w:rsid w:val="0098530D"/>
    <w:pPr>
      <w:tabs>
        <w:tab w:val="left" w:pos="1492"/>
      </w:tabs>
      <w:ind w:left="1492" w:hanging="360"/>
    </w:pPr>
    <w:rPr>
      <w:rFonts w:ascii="TiAes New Roman" w:hAnsi="TiAes New Roman" w:cs="TiAes New Roman"/>
      <w:sz w:val="20"/>
      <w:szCs w:val="20"/>
      <w:lang w:val="es-ES" w:eastAsia="es-MX"/>
    </w:rPr>
  </w:style>
  <w:style w:type="paragraph" w:customStyle="1" w:styleId="Listadevietas3">
    <w:name w:val="Lista de viñetas 3"/>
    <w:basedOn w:val="Normal"/>
    <w:rsid w:val="0098530D"/>
    <w:pPr>
      <w:tabs>
        <w:tab w:val="left" w:pos="360"/>
      </w:tabs>
      <w:ind w:left="360" w:hanging="360"/>
    </w:pPr>
    <w:rPr>
      <w:rFonts w:ascii="TiAes New Roman" w:hAnsi="TiAes New Roman" w:cs="TiAes New Roman"/>
      <w:sz w:val="20"/>
      <w:szCs w:val="20"/>
      <w:lang w:val="es-ES" w:eastAsia="es-MX"/>
    </w:rPr>
  </w:style>
  <w:style w:type="paragraph" w:customStyle="1" w:styleId="Listadevietas4">
    <w:name w:val="Lista de viñetas 4"/>
    <w:basedOn w:val="Normal"/>
    <w:rsid w:val="0098530D"/>
    <w:pPr>
      <w:tabs>
        <w:tab w:val="left" w:pos="643"/>
      </w:tabs>
      <w:ind w:left="643" w:hanging="360"/>
    </w:pPr>
    <w:rPr>
      <w:rFonts w:ascii="TiAes New Roman" w:hAnsi="TiAes New Roman" w:cs="TiAes New Roman"/>
      <w:sz w:val="20"/>
      <w:szCs w:val="20"/>
      <w:lang w:val="es-ES" w:eastAsia="es-MX"/>
    </w:rPr>
  </w:style>
  <w:style w:type="paragraph" w:customStyle="1" w:styleId="Listadevietas5">
    <w:name w:val="Lista de viñetas 5"/>
    <w:basedOn w:val="Normal"/>
    <w:rsid w:val="0098530D"/>
    <w:pPr>
      <w:tabs>
        <w:tab w:val="left" w:pos="926"/>
      </w:tabs>
      <w:ind w:left="926" w:hanging="360"/>
    </w:pPr>
    <w:rPr>
      <w:rFonts w:ascii="TiAes New Roman" w:hAnsi="TiAes New Roman" w:cs="TiAes New Roman"/>
      <w:sz w:val="20"/>
      <w:szCs w:val="20"/>
      <w:lang w:val="es-ES" w:eastAsia="es-MX"/>
    </w:rPr>
  </w:style>
  <w:style w:type="paragraph" w:customStyle="1" w:styleId="Listadevietas">
    <w:name w:val="Lista de viñetas"/>
    <w:basedOn w:val="Normal"/>
    <w:rsid w:val="0098530D"/>
    <w:pPr>
      <w:tabs>
        <w:tab w:val="left" w:pos="1209"/>
      </w:tabs>
      <w:ind w:left="1209" w:hanging="360"/>
    </w:pPr>
    <w:rPr>
      <w:rFonts w:ascii="TiAes New Roman" w:hAnsi="TiAes New Roman" w:cs="TiAes New Roman"/>
      <w:sz w:val="20"/>
      <w:szCs w:val="20"/>
      <w:lang w:val="es-ES" w:eastAsia="es-MX"/>
    </w:rPr>
  </w:style>
  <w:style w:type="paragraph" w:customStyle="1" w:styleId="Listacontinua2">
    <w:name w:val="Lista continua 2"/>
    <w:basedOn w:val="Normal"/>
    <w:rsid w:val="0098530D"/>
    <w:pPr>
      <w:tabs>
        <w:tab w:val="left" w:pos="1492"/>
      </w:tabs>
      <w:ind w:left="1492" w:hanging="360"/>
    </w:pPr>
    <w:rPr>
      <w:rFonts w:ascii="TiAes New Roman" w:hAnsi="TiAes New Roman" w:cs="TiAes New Roman"/>
      <w:sz w:val="20"/>
      <w:szCs w:val="20"/>
      <w:lang w:val="es-ES" w:eastAsia="es-MX"/>
    </w:rPr>
  </w:style>
  <w:style w:type="paragraph" w:customStyle="1" w:styleId="Mapadeldocumento1">
    <w:name w:val="Mapa del documento1"/>
    <w:basedOn w:val="Normal"/>
    <w:rsid w:val="0098530D"/>
    <w:pPr>
      <w:shd w:val="clear" w:color="auto" w:fill="000080"/>
    </w:pPr>
    <w:rPr>
      <w:rFonts w:ascii="TaAoma" w:hAnsi="TaAoma" w:cs="TaAoma"/>
      <w:sz w:val="20"/>
      <w:szCs w:val="20"/>
      <w:lang w:val="es-ES" w:eastAsia="es-MX"/>
    </w:rPr>
  </w:style>
  <w:style w:type="paragraph" w:customStyle="1" w:styleId="Remite">
    <w:name w:val="Remite"/>
    <w:basedOn w:val="Normal"/>
    <w:rsid w:val="0098530D"/>
    <w:rPr>
      <w:rFonts w:ascii="ArAal" w:hAnsi="ArAal" w:cs="ArAal"/>
      <w:sz w:val="20"/>
      <w:szCs w:val="20"/>
      <w:lang w:val="es-ES" w:eastAsia="es-MX"/>
    </w:rPr>
  </w:style>
  <w:style w:type="paragraph" w:customStyle="1" w:styleId="Saludo1">
    <w:name w:val="Saludo1"/>
    <w:basedOn w:val="Normal"/>
    <w:next w:val="Normal"/>
    <w:rsid w:val="0098530D"/>
    <w:rPr>
      <w:rFonts w:ascii="TiAes New Roman" w:hAnsi="TiAes New Roman" w:cs="TiAes New Roman"/>
      <w:sz w:val="20"/>
      <w:szCs w:val="20"/>
      <w:lang w:val="es-ES" w:eastAsia="es-MX"/>
    </w:rPr>
  </w:style>
  <w:style w:type="paragraph" w:customStyle="1" w:styleId="Sangra3detindepend">
    <w:name w:val="Sangría 3 de t. independ"/>
    <w:basedOn w:val="Normal"/>
    <w:rsid w:val="0098530D"/>
    <w:pPr>
      <w:spacing w:after="120"/>
      <w:ind w:left="283"/>
    </w:pPr>
    <w:rPr>
      <w:rFonts w:ascii="TiAes New Roman" w:hAnsi="TiAes New Roman" w:cs="TiAes New Roman"/>
      <w:sz w:val="16"/>
      <w:szCs w:val="20"/>
      <w:lang w:val="es-ES" w:eastAsia="es-MX"/>
    </w:rPr>
  </w:style>
  <w:style w:type="paragraph" w:styleId="Tabladeilustraciones">
    <w:name w:val="table of figures"/>
    <w:basedOn w:val="Normal"/>
    <w:next w:val="Normal"/>
    <w:rsid w:val="0098530D"/>
    <w:pPr>
      <w:ind w:left="400" w:hanging="400"/>
    </w:pPr>
    <w:rPr>
      <w:rFonts w:ascii="TiAes New Roman" w:hAnsi="TiAes New Roman" w:cs="TiAes New Roman"/>
      <w:sz w:val="20"/>
      <w:szCs w:val="20"/>
      <w:lang w:val="es-ES" w:eastAsia="es-MX"/>
    </w:rPr>
  </w:style>
  <w:style w:type="paragraph" w:customStyle="1" w:styleId="Tdc9">
    <w:name w:val="Tdc 9"/>
    <w:basedOn w:val="Normal"/>
    <w:next w:val="Normal"/>
    <w:rsid w:val="0098530D"/>
    <w:pPr>
      <w:ind w:left="1600"/>
    </w:pPr>
    <w:rPr>
      <w:rFonts w:ascii="TiAes New Roman" w:hAnsi="TiAes New Roman" w:cs="TiAes New Roman"/>
      <w:sz w:val="20"/>
      <w:szCs w:val="20"/>
      <w:lang w:val="es-ES" w:eastAsia="es-MX"/>
    </w:rPr>
  </w:style>
  <w:style w:type="paragraph" w:customStyle="1" w:styleId="Tabladeautoridades">
    <w:name w:val="Tabla de autoridades"/>
    <w:basedOn w:val="Normal"/>
    <w:next w:val="Normal"/>
    <w:rsid w:val="0098530D"/>
    <w:pPr>
      <w:ind w:left="200" w:hanging="200"/>
    </w:pPr>
    <w:rPr>
      <w:rFonts w:ascii="TiAes New Roman" w:hAnsi="TiAes New Roman" w:cs="TiAes New Roman"/>
      <w:sz w:val="20"/>
      <w:szCs w:val="20"/>
      <w:lang w:val="es-ES" w:eastAsia="es-MX"/>
    </w:rPr>
  </w:style>
  <w:style w:type="paragraph" w:customStyle="1" w:styleId="Textodebloque2">
    <w:name w:val="Texto de bloque2"/>
    <w:basedOn w:val="Normal"/>
    <w:rsid w:val="0098530D"/>
    <w:pPr>
      <w:spacing w:after="120"/>
      <w:ind w:left="1440" w:right="1440"/>
    </w:pPr>
    <w:rPr>
      <w:rFonts w:ascii="TiAes New Roman" w:hAnsi="TiAes New Roman" w:cs="TiAes New Roman"/>
      <w:sz w:val="20"/>
      <w:szCs w:val="20"/>
      <w:lang w:val="es-ES" w:eastAsia="es-MX"/>
    </w:rPr>
  </w:style>
  <w:style w:type="paragraph" w:customStyle="1" w:styleId="Encabezado1">
    <w:name w:val="Encabezado1"/>
    <w:basedOn w:val="Normal"/>
    <w:next w:val="Encabezado"/>
    <w:rsid w:val="0098530D"/>
    <w:pPr>
      <w:tabs>
        <w:tab w:val="center" w:pos="4419"/>
        <w:tab w:val="right" w:pos="8838"/>
      </w:tabs>
    </w:pPr>
    <w:rPr>
      <w:rFonts w:ascii="CaAibri" w:hAnsi="CaAibri" w:cs="CaAibri"/>
      <w:sz w:val="22"/>
      <w:szCs w:val="20"/>
      <w:lang w:eastAsia="es-MX"/>
    </w:rPr>
  </w:style>
  <w:style w:type="paragraph" w:customStyle="1" w:styleId="Piedepgina1">
    <w:name w:val="Pie de página1"/>
    <w:basedOn w:val="Normal"/>
    <w:next w:val="Piedepgina"/>
    <w:rsid w:val="0098530D"/>
    <w:pPr>
      <w:tabs>
        <w:tab w:val="center" w:pos="4419"/>
        <w:tab w:val="right" w:pos="8838"/>
      </w:tabs>
    </w:pPr>
    <w:rPr>
      <w:rFonts w:ascii="CaAibri" w:hAnsi="CaAibri" w:cs="CaAibri"/>
      <w:sz w:val="22"/>
      <w:szCs w:val="20"/>
      <w:lang w:eastAsia="es-MX"/>
    </w:rPr>
  </w:style>
  <w:style w:type="paragraph" w:customStyle="1" w:styleId="Ttulo40">
    <w:name w:val="Título4"/>
    <w:basedOn w:val="Normal"/>
    <w:rsid w:val="0098530D"/>
    <w:pPr>
      <w:spacing w:before="240" w:after="60"/>
      <w:jc w:val="center"/>
    </w:pPr>
    <w:rPr>
      <w:rFonts w:ascii="ArAal" w:hAnsi="ArAal" w:cs="ArAal"/>
      <w:b/>
      <w:sz w:val="32"/>
      <w:szCs w:val="20"/>
      <w:lang w:eastAsia="es-MX"/>
    </w:rPr>
  </w:style>
  <w:style w:type="paragraph" w:customStyle="1" w:styleId="Ttulo20">
    <w:name w:val="Título2"/>
    <w:basedOn w:val="Normal"/>
    <w:rsid w:val="0098530D"/>
    <w:pPr>
      <w:spacing w:before="240" w:after="60"/>
      <w:jc w:val="center"/>
    </w:pPr>
    <w:rPr>
      <w:rFonts w:ascii="ArAal" w:hAnsi="ArAal" w:cs="ArAal"/>
      <w:b/>
      <w:sz w:val="32"/>
      <w:szCs w:val="20"/>
      <w:lang w:eastAsia="es-MX"/>
    </w:rPr>
  </w:style>
  <w:style w:type="paragraph" w:customStyle="1" w:styleId="Estilosinnombre">
    <w:name w:val="Estilo sin nombre"/>
    <w:basedOn w:val="Normal"/>
    <w:next w:val="Normal"/>
    <w:rsid w:val="0098530D"/>
    <w:pPr>
      <w:spacing w:before="120" w:after="120"/>
    </w:pPr>
    <w:rPr>
      <w:rFonts w:ascii="TiAes New Roman" w:hAnsi="TiAes New Roman" w:cs="TiAes New Roman"/>
      <w:b/>
      <w:sz w:val="20"/>
      <w:szCs w:val="20"/>
      <w:lang w:val="es-ES" w:eastAsia="es-MX"/>
    </w:rPr>
  </w:style>
  <w:style w:type="paragraph" w:styleId="Revisin">
    <w:name w:val="Revision"/>
    <w:rsid w:val="0098530D"/>
    <w:rPr>
      <w:rFonts w:ascii="CaAibri" w:eastAsia="Times New Roman" w:hAnsi="CaAibri" w:cs="CaAibri"/>
      <w:sz w:val="22"/>
      <w:szCs w:val="20"/>
      <w:lang w:val="es-419" w:eastAsia="es-MX"/>
    </w:rPr>
  </w:style>
  <w:style w:type="paragraph" w:customStyle="1" w:styleId="l">
    <w:name w:val="l"/>
    <w:basedOn w:val="Texto"/>
    <w:rsid w:val="0098530D"/>
    <w:pPr>
      <w:ind w:left="2340" w:hanging="450"/>
    </w:pPr>
    <w:rPr>
      <w:rFonts w:ascii="ArAal" w:hAnsi="ArAal" w:cs="ArAal"/>
      <w:lang w:eastAsia="es-MX"/>
    </w:rPr>
  </w:style>
  <w:style w:type="paragraph" w:customStyle="1" w:styleId="As">
    <w:name w:val="As"/>
    <w:basedOn w:val="Normal"/>
    <w:rsid w:val="0098530D"/>
    <w:pPr>
      <w:pBdr>
        <w:bottom w:val="single" w:sz="6" w:space="1" w:color="auto"/>
      </w:pBdr>
      <w:tabs>
        <w:tab w:val="left" w:pos="-720"/>
      </w:tabs>
      <w:spacing w:after="101" w:line="216" w:lineRule="exact"/>
      <w:ind w:left="288"/>
      <w:jc w:val="both"/>
    </w:pPr>
    <w:rPr>
      <w:rFonts w:ascii="ArAal" w:hAnsi="ArAal" w:cs="ArAal"/>
      <w:b/>
      <w:sz w:val="18"/>
      <w:szCs w:val="20"/>
      <w:lang w:val="es-ES" w:eastAsia="es-MX"/>
    </w:rPr>
  </w:style>
  <w:style w:type="paragraph" w:customStyle="1" w:styleId="QQ">
    <w:name w:val="QQ"/>
    <w:basedOn w:val="Normal"/>
    <w:rsid w:val="0098530D"/>
    <w:pPr>
      <w:tabs>
        <w:tab w:val="left" w:leader="dot" w:pos="8760"/>
        <w:tab w:val="left" w:pos="8880"/>
      </w:tabs>
      <w:spacing w:after="101" w:line="216" w:lineRule="exact"/>
      <w:ind w:left="840" w:hanging="600"/>
      <w:jc w:val="both"/>
    </w:pPr>
    <w:rPr>
      <w:rFonts w:ascii="ArAal" w:hAnsi="ArAal" w:cs="ArAal"/>
      <w:b/>
      <w:sz w:val="18"/>
      <w:szCs w:val="20"/>
      <w:lang w:val="es-ES" w:eastAsia="es-MX"/>
    </w:rPr>
  </w:style>
  <w:style w:type="paragraph" w:customStyle="1" w:styleId="Fuentedeprrafopredet">
    <w:name w:val="Fuente de párrafo predet"/>
    <w:rsid w:val="0098530D"/>
    <w:rPr>
      <w:rFonts w:ascii="CG Times (W1)" w:eastAsia="Times New Roman" w:hAnsi="CG Times (W1)" w:cs="CG Times (W1)"/>
      <w:noProof/>
      <w:sz w:val="20"/>
      <w:szCs w:val="20"/>
      <w:lang w:eastAsia="es-MX"/>
    </w:rPr>
  </w:style>
  <w:style w:type="paragraph" w:customStyle="1" w:styleId="z-Principiodelformular">
    <w:name w:val="z-Principio del formular"/>
    <w:basedOn w:val="Normal"/>
    <w:next w:val="Normal"/>
    <w:rsid w:val="0098530D"/>
    <w:pPr>
      <w:pBdr>
        <w:bottom w:val="single" w:sz="6" w:space="1" w:color="auto"/>
      </w:pBdr>
      <w:jc w:val="center"/>
    </w:pPr>
    <w:rPr>
      <w:rFonts w:ascii="ArAal" w:hAnsi="ArAal" w:cs="ArAal"/>
      <w:vanish/>
      <w:sz w:val="16"/>
      <w:szCs w:val="20"/>
      <w:lang w:eastAsia="es-MX"/>
    </w:rPr>
  </w:style>
  <w:style w:type="paragraph" w:customStyle="1" w:styleId="z-Finaldelformulario1">
    <w:name w:val="z-Final del formulario1"/>
    <w:basedOn w:val="Normal"/>
    <w:next w:val="Normal"/>
    <w:rsid w:val="0098530D"/>
    <w:pPr>
      <w:pBdr>
        <w:top w:val="single" w:sz="6" w:space="1" w:color="auto"/>
      </w:pBdr>
      <w:jc w:val="center"/>
    </w:pPr>
    <w:rPr>
      <w:rFonts w:ascii="ArAal" w:hAnsi="ArAal" w:cs="ArAal"/>
      <w:vanish/>
      <w:sz w:val="16"/>
      <w:szCs w:val="20"/>
      <w:lang w:eastAsia="es-MX"/>
    </w:rPr>
  </w:style>
  <w:style w:type="paragraph" w:customStyle="1" w:styleId="elemento">
    <w:name w:val="elemento"/>
    <w:basedOn w:val="Normal"/>
    <w:rsid w:val="0098530D"/>
    <w:pPr>
      <w:spacing w:before="100" w:after="100"/>
    </w:pPr>
    <w:rPr>
      <w:rFonts w:ascii="TiAes New Roman" w:hAnsi="TiAes New Roman" w:cs="TiAes New Roman"/>
      <w:szCs w:val="20"/>
      <w:lang w:eastAsia="es-MX"/>
    </w:rPr>
  </w:style>
  <w:style w:type="paragraph" w:customStyle="1" w:styleId="elementotitulo">
    <w:name w:val="elementotitulo"/>
    <w:basedOn w:val="Normal"/>
    <w:rsid w:val="0098530D"/>
    <w:pPr>
      <w:spacing w:before="100" w:after="100"/>
    </w:pPr>
    <w:rPr>
      <w:rFonts w:ascii="TiAes New Roman" w:hAnsi="TiAes New Roman" w:cs="TiAes New Roman"/>
      <w:szCs w:val="20"/>
      <w:lang w:eastAsia="es-MX"/>
    </w:rPr>
  </w:style>
  <w:style w:type="paragraph" w:customStyle="1" w:styleId="elementoseccion">
    <w:name w:val="elementoseccion"/>
    <w:basedOn w:val="Normal"/>
    <w:rsid w:val="0098530D"/>
    <w:pPr>
      <w:pBdr>
        <w:bottom w:val="single" w:sz="12" w:space="0" w:color="000000"/>
      </w:pBdr>
      <w:spacing w:before="100" w:after="100"/>
    </w:pPr>
    <w:rPr>
      <w:rFonts w:ascii="TiAes New Roman" w:hAnsi="TiAes New Roman" w:cs="TiAes New Roman"/>
      <w:b/>
      <w:sz w:val="22"/>
      <w:szCs w:val="20"/>
      <w:lang w:eastAsia="es-MX"/>
    </w:rPr>
  </w:style>
  <w:style w:type="paragraph" w:customStyle="1" w:styleId="separador">
    <w:name w:val="separador"/>
    <w:basedOn w:val="Normal"/>
    <w:rsid w:val="0098530D"/>
    <w:pPr>
      <w:spacing w:before="100" w:after="100"/>
    </w:pPr>
    <w:rPr>
      <w:rFonts w:ascii="TiAes New Roman" w:hAnsi="TiAes New Roman" w:cs="TiAes New Roman"/>
      <w:szCs w:val="20"/>
      <w:lang w:eastAsia="es-MX"/>
    </w:rPr>
  </w:style>
  <w:style w:type="paragraph" w:customStyle="1" w:styleId="elementoatributos">
    <w:name w:val="elementoatributos"/>
    <w:basedOn w:val="Normal"/>
    <w:rsid w:val="0098530D"/>
    <w:pPr>
      <w:spacing w:before="100" w:after="100"/>
    </w:pPr>
    <w:rPr>
      <w:rFonts w:ascii="TiAes New Roman" w:hAnsi="TiAes New Roman" w:cs="TiAes New Roman"/>
      <w:szCs w:val="20"/>
      <w:lang w:eastAsia="es-MX"/>
    </w:rPr>
  </w:style>
  <w:style w:type="paragraph" w:customStyle="1" w:styleId="atributo">
    <w:name w:val="atributo"/>
    <w:basedOn w:val="Normal"/>
    <w:rsid w:val="0098530D"/>
    <w:pPr>
      <w:pBdr>
        <w:bottom w:val="single" w:sz="6" w:space="0" w:color="000000"/>
      </w:pBdr>
      <w:spacing w:before="100" w:after="100"/>
    </w:pPr>
    <w:rPr>
      <w:rFonts w:ascii="TiAes New Roman" w:hAnsi="TiAes New Roman" w:cs="TiAes New Roman"/>
      <w:b/>
      <w:sz w:val="20"/>
      <w:szCs w:val="20"/>
      <w:lang w:eastAsia="es-MX"/>
    </w:rPr>
  </w:style>
  <w:style w:type="paragraph" w:customStyle="1" w:styleId="labelatributo">
    <w:name w:val="labelatributo"/>
    <w:basedOn w:val="Normal"/>
    <w:rsid w:val="0098530D"/>
    <w:pPr>
      <w:pBdr>
        <w:bottom w:val="single" w:sz="6" w:space="0" w:color="000000"/>
      </w:pBdr>
      <w:spacing w:before="100" w:after="100"/>
    </w:pPr>
    <w:rPr>
      <w:rFonts w:ascii="TiAes New Roman" w:hAnsi="TiAes New Roman" w:cs="TiAes New Roman"/>
      <w:b/>
      <w:sz w:val="20"/>
      <w:szCs w:val="20"/>
      <w:lang w:eastAsia="es-MX"/>
    </w:rPr>
  </w:style>
  <w:style w:type="paragraph" w:customStyle="1" w:styleId="valoratributo">
    <w:name w:val="valoratributo"/>
    <w:basedOn w:val="Normal"/>
    <w:rsid w:val="0098530D"/>
    <w:pPr>
      <w:pBdr>
        <w:bottom w:val="single" w:sz="6" w:space="0" w:color="000000"/>
      </w:pBdr>
      <w:spacing w:before="100" w:after="100"/>
    </w:pPr>
    <w:rPr>
      <w:rFonts w:ascii="TiAes New Roman" w:hAnsi="TiAes New Roman" w:cs="TiAes New Roman"/>
      <w:sz w:val="20"/>
      <w:szCs w:val="20"/>
      <w:lang w:eastAsia="es-MX"/>
    </w:rPr>
  </w:style>
  <w:style w:type="paragraph" w:customStyle="1" w:styleId="tablanodos">
    <w:name w:val="tablanodos"/>
    <w:basedOn w:val="Normal"/>
    <w:rsid w:val="0098530D"/>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eastAsia="es-MX"/>
    </w:rPr>
  </w:style>
  <w:style w:type="paragraph" w:customStyle="1" w:styleId="titulotablanodos">
    <w:name w:val="titulotablanodos"/>
    <w:basedOn w:val="Normal"/>
    <w:rsid w:val="0098530D"/>
    <w:pPr>
      <w:spacing w:before="100" w:after="100"/>
      <w:jc w:val="center"/>
    </w:pPr>
    <w:rPr>
      <w:rFonts w:ascii="TiAes New Roman" w:hAnsi="TiAes New Roman" w:cs="TiAes New Roman"/>
      <w:b/>
      <w:sz w:val="20"/>
      <w:szCs w:val="20"/>
      <w:lang w:eastAsia="es-MX"/>
    </w:rPr>
  </w:style>
  <w:style w:type="paragraph" w:customStyle="1" w:styleId="valortablanodos">
    <w:name w:val="valortablanodos"/>
    <w:basedOn w:val="Normal"/>
    <w:rsid w:val="0098530D"/>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eastAsia="es-MX"/>
    </w:rPr>
  </w:style>
  <w:style w:type="paragraph" w:customStyle="1" w:styleId="labeltablanodos">
    <w:name w:val="labeltablanodos"/>
    <w:basedOn w:val="Normal"/>
    <w:rsid w:val="0098530D"/>
    <w:pPr>
      <w:pBdr>
        <w:bottom w:val="single" w:sz="6" w:space="0" w:color="000000"/>
      </w:pBdr>
      <w:spacing w:before="100" w:after="100"/>
    </w:pPr>
    <w:rPr>
      <w:rFonts w:ascii="TiAes New Roman" w:hAnsi="TiAes New Roman" w:cs="TiAes New Roman"/>
      <w:sz w:val="20"/>
      <w:szCs w:val="20"/>
      <w:lang w:eastAsia="es-MX"/>
    </w:rPr>
  </w:style>
  <w:style w:type="paragraph" w:customStyle="1" w:styleId="Title1">
    <w:name w:val="Title1"/>
    <w:basedOn w:val="Normal"/>
    <w:next w:val="Normal"/>
    <w:rsid w:val="0098530D"/>
    <w:pPr>
      <w:keepNext/>
      <w:spacing w:before="240" w:after="240"/>
      <w:jc w:val="center"/>
    </w:pPr>
    <w:rPr>
      <w:rFonts w:ascii="TiAes New Roman" w:hAnsi="TiAes New Roman" w:cs="TiAes New Roman"/>
      <w:b/>
      <w:szCs w:val="20"/>
      <w:lang w:eastAsia="es-MX"/>
    </w:rPr>
  </w:style>
  <w:style w:type="paragraph" w:customStyle="1" w:styleId="p">
    <w:name w:val="p"/>
    <w:basedOn w:val="Normal"/>
    <w:rsid w:val="0098530D"/>
    <w:pPr>
      <w:spacing w:before="100" w:after="100"/>
    </w:pPr>
    <w:rPr>
      <w:rFonts w:ascii="TiAes New Roman" w:hAnsi="TiAes New Roman" w:cs="TiAes New Roman"/>
      <w:szCs w:val="20"/>
      <w:lang w:eastAsia="es-MX"/>
    </w:rPr>
  </w:style>
  <w:style w:type="paragraph" w:customStyle="1" w:styleId="q">
    <w:name w:val="q"/>
    <w:basedOn w:val="Normal"/>
    <w:rsid w:val="0098530D"/>
    <w:pPr>
      <w:spacing w:before="100" w:after="100"/>
    </w:pPr>
    <w:rPr>
      <w:rFonts w:ascii="TiAes New Roman" w:hAnsi="TiAes New Roman" w:cs="TiAes New Roman"/>
      <w:szCs w:val="20"/>
      <w:lang w:eastAsia="es-MX"/>
    </w:rPr>
  </w:style>
  <w:style w:type="paragraph" w:customStyle="1" w:styleId="k">
    <w:name w:val="k"/>
    <w:basedOn w:val="Normal"/>
    <w:rsid w:val="0098530D"/>
    <w:pPr>
      <w:spacing w:after="101" w:line="216" w:lineRule="exact"/>
      <w:ind w:left="1890" w:hanging="450"/>
      <w:jc w:val="both"/>
    </w:pPr>
    <w:rPr>
      <w:rFonts w:ascii="ArAal" w:hAnsi="ArAal" w:cs="ArAal"/>
      <w:sz w:val="18"/>
      <w:szCs w:val="20"/>
      <w:lang w:eastAsia="es-MX"/>
    </w:rPr>
  </w:style>
  <w:style w:type="paragraph" w:customStyle="1" w:styleId="ww">
    <w:name w:val="ww"/>
    <w:basedOn w:val="Normal"/>
    <w:rsid w:val="0098530D"/>
    <w:pPr>
      <w:tabs>
        <w:tab w:val="left" w:pos="5040"/>
        <w:tab w:val="center" w:pos="7680"/>
      </w:tabs>
      <w:spacing w:after="101" w:line="216" w:lineRule="exact"/>
      <w:ind w:left="288" w:right="4277"/>
    </w:pPr>
    <w:rPr>
      <w:rFonts w:ascii="ArAal" w:hAnsi="ArAal" w:cs="ArAal"/>
      <w:sz w:val="18"/>
      <w:szCs w:val="20"/>
      <w:lang w:val="es-ES" w:eastAsia="es-MX"/>
    </w:rPr>
  </w:style>
  <w:style w:type="paragraph" w:customStyle="1" w:styleId="Estilo1x">
    <w:name w:val="Estilo1x"/>
    <w:basedOn w:val="Texto"/>
    <w:rsid w:val="0098530D"/>
    <w:pPr>
      <w:tabs>
        <w:tab w:val="left" w:pos="5040"/>
        <w:tab w:val="center" w:pos="7800"/>
      </w:tabs>
      <w:ind w:left="288" w:firstLine="0"/>
      <w:jc w:val="left"/>
    </w:pPr>
    <w:rPr>
      <w:rFonts w:ascii="ArAal" w:hAnsi="ArAal" w:cs="ArAal"/>
      <w:lang w:eastAsia="es-MX"/>
    </w:rPr>
  </w:style>
  <w:style w:type="paragraph" w:customStyle="1" w:styleId="a">
    <w:name w:val="a"/>
    <w:basedOn w:val="Normal"/>
    <w:rsid w:val="0098530D"/>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rsid w:val="0098530D"/>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98530D"/>
    <w:pPr>
      <w:spacing w:before="100" w:after="100"/>
      <w:jc w:val="center"/>
    </w:pPr>
    <w:rPr>
      <w:rFonts w:ascii="ArAal" w:hAnsi="ArAal" w:cs="ArAal"/>
      <w:sz w:val="16"/>
      <w:szCs w:val="20"/>
      <w:lang w:val="es-ES" w:eastAsia="es-MX"/>
    </w:rPr>
  </w:style>
  <w:style w:type="paragraph" w:customStyle="1" w:styleId="font6">
    <w:name w:val="font6"/>
    <w:basedOn w:val="Normal"/>
    <w:rsid w:val="0098530D"/>
    <w:pPr>
      <w:spacing w:before="100" w:after="100"/>
    </w:pPr>
    <w:rPr>
      <w:rFonts w:ascii="TaAoma" w:hAnsi="TaAoma" w:cs="TaAoma"/>
      <w:b/>
      <w:color w:val="000000"/>
      <w:sz w:val="16"/>
      <w:szCs w:val="20"/>
      <w:lang w:val="es-ES" w:eastAsia="es-MX"/>
    </w:rPr>
  </w:style>
  <w:style w:type="paragraph" w:customStyle="1" w:styleId="xl24">
    <w:name w:val="xl24"/>
    <w:basedOn w:val="Normal"/>
    <w:rsid w:val="0098530D"/>
    <w:pPr>
      <w:spacing w:before="100" w:after="100"/>
    </w:pPr>
    <w:rPr>
      <w:rFonts w:ascii="ArAal" w:hAnsi="ArAal" w:cs="ArAal"/>
      <w:sz w:val="16"/>
      <w:szCs w:val="20"/>
      <w:lang w:val="es-ES" w:eastAsia="es-MX"/>
    </w:rPr>
  </w:style>
  <w:style w:type="paragraph" w:customStyle="1" w:styleId="xl26">
    <w:name w:val="xl26"/>
    <w:basedOn w:val="Normal"/>
    <w:rsid w:val="0098530D"/>
    <w:pPr>
      <w:pBdr>
        <w:bottom w:val="double" w:sz="6" w:space="0" w:color="auto"/>
      </w:pBdr>
      <w:spacing w:before="100" w:after="100"/>
    </w:pPr>
    <w:rPr>
      <w:rFonts w:ascii="ArAal" w:hAnsi="ArAal" w:cs="ArAal"/>
      <w:sz w:val="16"/>
      <w:szCs w:val="20"/>
      <w:lang w:val="es-ES" w:eastAsia="es-MX"/>
    </w:rPr>
  </w:style>
  <w:style w:type="paragraph" w:customStyle="1" w:styleId="xl27">
    <w:name w:val="xl27"/>
    <w:basedOn w:val="Normal"/>
    <w:rsid w:val="0098530D"/>
    <w:pPr>
      <w:pBdr>
        <w:bottom w:val="double" w:sz="6" w:space="0" w:color="auto"/>
      </w:pBdr>
      <w:spacing w:before="100" w:after="100"/>
      <w:jc w:val="right"/>
    </w:pPr>
    <w:rPr>
      <w:rFonts w:ascii="ArAal" w:hAnsi="ArAal" w:cs="ArAal"/>
      <w:sz w:val="16"/>
      <w:szCs w:val="20"/>
      <w:lang w:val="es-ES" w:eastAsia="es-MX"/>
    </w:rPr>
  </w:style>
  <w:style w:type="paragraph" w:customStyle="1" w:styleId="xl28">
    <w:name w:val="xl28"/>
    <w:basedOn w:val="Normal"/>
    <w:rsid w:val="0098530D"/>
    <w:pPr>
      <w:pBdr>
        <w:top w:val="double" w:sz="6" w:space="0" w:color="auto"/>
      </w:pBdr>
      <w:spacing w:before="100" w:after="100"/>
    </w:pPr>
    <w:rPr>
      <w:rFonts w:ascii="ArAal" w:hAnsi="ArAal" w:cs="ArAal"/>
      <w:sz w:val="16"/>
      <w:szCs w:val="20"/>
      <w:lang w:val="es-ES" w:eastAsia="es-MX"/>
    </w:rPr>
  </w:style>
  <w:style w:type="paragraph" w:customStyle="1" w:styleId="xl29">
    <w:name w:val="xl29"/>
    <w:basedOn w:val="Normal"/>
    <w:rsid w:val="0098530D"/>
    <w:pPr>
      <w:pBdr>
        <w:bottom w:val="double" w:sz="6" w:space="0" w:color="auto"/>
      </w:pBdr>
      <w:spacing w:before="100" w:after="100"/>
      <w:jc w:val="center"/>
    </w:pPr>
    <w:rPr>
      <w:rFonts w:ascii="ArAal" w:hAnsi="ArAal" w:cs="ArAal"/>
      <w:sz w:val="16"/>
      <w:szCs w:val="20"/>
      <w:lang w:val="es-ES" w:eastAsia="es-MX"/>
    </w:rPr>
  </w:style>
  <w:style w:type="paragraph" w:customStyle="1" w:styleId="xl31">
    <w:name w:val="xl31"/>
    <w:basedOn w:val="Normal"/>
    <w:rsid w:val="0098530D"/>
    <w:pPr>
      <w:pBdr>
        <w:bottom w:val="double" w:sz="6" w:space="0" w:color="auto"/>
      </w:pBdr>
      <w:spacing w:before="100" w:after="100"/>
      <w:jc w:val="center"/>
    </w:pPr>
    <w:rPr>
      <w:rFonts w:ascii="ArAal" w:hAnsi="ArAal" w:cs="ArAal"/>
      <w:sz w:val="16"/>
      <w:szCs w:val="20"/>
      <w:lang w:val="es-ES" w:eastAsia="es-MX"/>
    </w:rPr>
  </w:style>
  <w:style w:type="paragraph" w:customStyle="1" w:styleId="centrado">
    <w:name w:val="centrado"/>
    <w:basedOn w:val="texto0"/>
    <w:next w:val="Normal"/>
    <w:rsid w:val="0098530D"/>
    <w:pPr>
      <w:spacing w:line="216" w:lineRule="atLeast"/>
      <w:ind w:firstLine="0"/>
      <w:jc w:val="center"/>
    </w:pPr>
    <w:rPr>
      <w:b/>
      <w:lang w:val="es-ES_tradnl"/>
    </w:rPr>
  </w:style>
  <w:style w:type="table" w:styleId="Tablaconcuadrcula">
    <w:name w:val="Table Grid"/>
    <w:basedOn w:val="Tablanormal"/>
    <w:rsid w:val="0098530D"/>
    <w:rPr>
      <w:rFonts w:ascii="Calibri" w:eastAsia="Calibri" w:hAnsi="Calibri" w:cs="Calibri"/>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98530D"/>
    <w:pPr>
      <w:ind w:left="720"/>
    </w:pPr>
    <w:rPr>
      <w:rFonts w:ascii="TiAes New Roman" w:hAnsi="TiAes New Roman" w:cs="TiAes New Roman"/>
      <w:szCs w:val="20"/>
      <w:lang w:val="es-ES" w:eastAsia="es-MX"/>
    </w:rPr>
  </w:style>
  <w:style w:type="paragraph" w:customStyle="1" w:styleId="tramite">
    <w:name w:val="tramite"/>
    <w:basedOn w:val="Normal"/>
    <w:rsid w:val="0098530D"/>
    <w:pPr>
      <w:tabs>
        <w:tab w:val="right" w:pos="1116"/>
      </w:tabs>
      <w:spacing w:before="40" w:after="40" w:line="220" w:lineRule="exact"/>
      <w:ind w:left="29"/>
    </w:pPr>
    <w:rPr>
      <w:rFonts w:ascii="ArAal" w:hAnsi="ArAal" w:cs="ArAal"/>
      <w:b/>
      <w:sz w:val="16"/>
      <w:szCs w:val="20"/>
      <w:lang w:eastAsia="es-MX"/>
    </w:rPr>
  </w:style>
  <w:style w:type="paragraph" w:customStyle="1" w:styleId="msonormalcxsplast">
    <w:name w:val="msonormalcxsplast"/>
    <w:basedOn w:val="Normal"/>
    <w:rsid w:val="0098530D"/>
    <w:pPr>
      <w:spacing w:before="100" w:after="100"/>
    </w:pPr>
    <w:rPr>
      <w:rFonts w:ascii="TiAes New Roman" w:hAnsi="TiAes New Roman" w:cs="TiAes New Roman"/>
      <w:szCs w:val="20"/>
      <w:lang w:eastAsia="es-MX"/>
    </w:rPr>
  </w:style>
  <w:style w:type="paragraph" w:customStyle="1" w:styleId="msonormalcxspmiddle">
    <w:name w:val="msonormalcxspmiddle"/>
    <w:basedOn w:val="Normal"/>
    <w:rsid w:val="0098530D"/>
    <w:pPr>
      <w:spacing w:before="100" w:after="100"/>
    </w:pPr>
    <w:rPr>
      <w:rFonts w:ascii="TiAes New Roman" w:hAnsi="TiAes New Roman" w:cs="TiAes New Roman"/>
      <w:szCs w:val="20"/>
      <w:lang w:eastAsia="es-MX"/>
    </w:rPr>
  </w:style>
  <w:style w:type="paragraph" w:customStyle="1" w:styleId="Ttulo30">
    <w:name w:val="Título3"/>
    <w:basedOn w:val="Normal"/>
    <w:next w:val="Normal"/>
    <w:rsid w:val="0098530D"/>
    <w:pPr>
      <w:keepNext/>
      <w:keepLines/>
      <w:spacing w:before="480" w:after="120" w:line="276" w:lineRule="atLeast"/>
    </w:pPr>
    <w:rPr>
      <w:rFonts w:ascii="CaAibri" w:hAnsi="CaAibri" w:cs="CaAibri"/>
      <w:b/>
      <w:color w:val="000000"/>
      <w:sz w:val="72"/>
      <w:szCs w:val="20"/>
      <w:lang w:eastAsia="es-MX"/>
    </w:rPr>
  </w:style>
  <w:style w:type="paragraph" w:customStyle="1" w:styleId="msotocheading0">
    <w:name w:val="msotocheading"/>
    <w:basedOn w:val="Ttulo1"/>
    <w:next w:val="Normal"/>
    <w:rsid w:val="0098530D"/>
    <w:pPr>
      <w:keepNext/>
      <w:keepLines/>
      <w:pBdr>
        <w:bottom w:val="none" w:sz="0" w:space="0" w:color="auto"/>
        <w:between w:val="none" w:sz="0" w:space="0" w:color="auto"/>
      </w:pBdr>
      <w:spacing w:before="240" w:line="256" w:lineRule="atLeast"/>
      <w:jc w:val="left"/>
    </w:pPr>
    <w:rPr>
      <w:rFonts w:ascii="CaAibri Light" w:hAnsi="CaAibri Light" w:cs="CaAibri Light"/>
      <w:b w:val="0"/>
      <w:color w:val="00FFFF"/>
      <w:sz w:val="32"/>
      <w:szCs w:val="20"/>
      <w:lang w:eastAsia="es-MX"/>
    </w:rPr>
  </w:style>
  <w:style w:type="paragraph" w:customStyle="1" w:styleId="Ttulo50">
    <w:name w:val="Título5"/>
    <w:basedOn w:val="Normal"/>
    <w:rsid w:val="0098530D"/>
    <w:rPr>
      <w:rFonts w:ascii="TiAes New Roman" w:hAnsi="TiAes New Roman" w:cs="TiAes New Roman"/>
      <w:szCs w:val="20"/>
      <w:lang w:eastAsia="es-MX"/>
    </w:rPr>
  </w:style>
  <w:style w:type="paragraph" w:customStyle="1" w:styleId="Mapadeldocumento2">
    <w:name w:val="Mapa del documento2"/>
    <w:basedOn w:val="Normal"/>
    <w:rsid w:val="0098530D"/>
    <w:rPr>
      <w:rFonts w:ascii="TaAoma" w:hAnsi="TaAoma" w:cs="TaAoma"/>
      <w:sz w:val="16"/>
      <w:szCs w:val="20"/>
      <w:lang w:eastAsia="es-MX"/>
    </w:rPr>
  </w:style>
  <w:style w:type="paragraph" w:customStyle="1" w:styleId="xl64">
    <w:name w:val="xl64"/>
    <w:basedOn w:val="Normal"/>
    <w:rsid w:val="0098530D"/>
    <w:pPr>
      <w:spacing w:before="100" w:after="100"/>
    </w:pPr>
    <w:rPr>
      <w:rFonts w:ascii="SoAerana Sans" w:hAnsi="SoAerana Sans" w:cs="SoAerana Sans"/>
      <w:sz w:val="16"/>
      <w:szCs w:val="20"/>
      <w:lang w:val="en-US" w:eastAsia="es-MX"/>
    </w:rPr>
  </w:style>
  <w:style w:type="paragraph" w:customStyle="1" w:styleId="z-Principiodelformu000">
    <w:name w:val="z-Principio del formu000"/>
    <w:basedOn w:val="Normal"/>
    <w:next w:val="Normal"/>
    <w:rsid w:val="0098530D"/>
    <w:pPr>
      <w:pBdr>
        <w:bottom w:val="single" w:sz="6" w:space="1" w:color="auto"/>
      </w:pBdr>
      <w:jc w:val="center"/>
    </w:pPr>
    <w:rPr>
      <w:rFonts w:ascii="ArAal" w:hAnsi="ArAal" w:cs="ArAal"/>
      <w:vanish/>
      <w:sz w:val="16"/>
      <w:szCs w:val="20"/>
      <w:lang w:eastAsia="es-MX"/>
    </w:rPr>
  </w:style>
  <w:style w:type="paragraph" w:customStyle="1" w:styleId="z-Finaldelformulario2">
    <w:name w:val="z-Final del formulario2"/>
    <w:basedOn w:val="Normal"/>
    <w:next w:val="Normal"/>
    <w:rsid w:val="0098530D"/>
    <w:pPr>
      <w:pBdr>
        <w:top w:val="single" w:sz="6" w:space="1" w:color="auto"/>
      </w:pBdr>
      <w:jc w:val="center"/>
    </w:pPr>
    <w:rPr>
      <w:rFonts w:ascii="ArAal" w:hAnsi="ArAal" w:cs="ArAal"/>
      <w:vanish/>
      <w:sz w:val="16"/>
      <w:szCs w:val="20"/>
      <w:lang w:eastAsia="es-MX"/>
    </w:rPr>
  </w:style>
  <w:style w:type="paragraph" w:customStyle="1" w:styleId="rfc">
    <w:name w:val="rfc"/>
    <w:basedOn w:val="Texto"/>
    <w:rsid w:val="0098530D"/>
    <w:pPr>
      <w:tabs>
        <w:tab w:val="right" w:pos="8730"/>
      </w:tabs>
      <w:ind w:firstLine="0"/>
    </w:pPr>
    <w:rPr>
      <w:rFonts w:ascii="ArAal" w:hAnsi="ArAal" w:cs="ArAal"/>
      <w:b/>
      <w:sz w:val="16"/>
      <w:lang w:val="es-ES" w:eastAsia="es-MX"/>
    </w:rPr>
  </w:style>
  <w:style w:type="paragraph" w:customStyle="1" w:styleId="annotationsubject">
    <w:name w:val="annotation subject"/>
    <w:basedOn w:val="Textocomentario"/>
    <w:next w:val="Textocomentario"/>
    <w:rsid w:val="0098530D"/>
    <w:rPr>
      <w:rFonts w:ascii="TiAes New Roman" w:hAnsi="TiAes New Roman" w:cs="TiAes New Roman"/>
      <w:b/>
      <w:sz w:val="20"/>
      <w:lang w:val="es-MX"/>
    </w:rPr>
  </w:style>
  <w:style w:type="paragraph" w:customStyle="1" w:styleId="BodyTextIndent2">
    <w:name w:val="Body Text Indent 2"/>
    <w:basedOn w:val="Normal"/>
    <w:rsid w:val="0098530D"/>
    <w:pPr>
      <w:spacing w:after="120" w:line="480" w:lineRule="atLeast"/>
      <w:ind w:left="283"/>
    </w:pPr>
    <w:rPr>
      <w:rFonts w:ascii="TiAes New Roman" w:hAnsi="TiAes New Roman" w:cs="TiAes New Roman"/>
      <w:szCs w:val="20"/>
      <w:lang w:eastAsia="es-MX"/>
    </w:rPr>
  </w:style>
  <w:style w:type="paragraph" w:customStyle="1" w:styleId="DocumentMap">
    <w:name w:val="Document Map"/>
    <w:basedOn w:val="Normal"/>
    <w:rsid w:val="0098530D"/>
    <w:rPr>
      <w:rFonts w:ascii="TaAoma" w:hAnsi="TaAoma" w:cs="TaAoma"/>
      <w:sz w:val="16"/>
      <w:szCs w:val="20"/>
      <w:lang w:eastAsia="es-MX"/>
    </w:rPr>
  </w:style>
  <w:style w:type="paragraph" w:customStyle="1" w:styleId="HTMLTopofForm">
    <w:name w:val="HTML Top of Form"/>
    <w:basedOn w:val="Normal"/>
    <w:next w:val="Normal"/>
    <w:rsid w:val="0098530D"/>
    <w:pPr>
      <w:pBdr>
        <w:bottom w:val="single" w:sz="6" w:space="1" w:color="auto"/>
      </w:pBdr>
      <w:jc w:val="center"/>
    </w:pPr>
    <w:rPr>
      <w:rFonts w:ascii="ArAal" w:hAnsi="ArAal" w:cs="ArAal"/>
      <w:vanish/>
      <w:sz w:val="16"/>
      <w:szCs w:val="20"/>
      <w:lang w:eastAsia="es-MX"/>
    </w:rPr>
  </w:style>
  <w:style w:type="paragraph" w:customStyle="1" w:styleId="HTMLBottomofForm">
    <w:name w:val="HTML Bottom of Form"/>
    <w:basedOn w:val="Normal"/>
    <w:next w:val="Normal"/>
    <w:rsid w:val="0098530D"/>
    <w:pPr>
      <w:pBdr>
        <w:top w:val="single" w:sz="6" w:space="1" w:color="auto"/>
      </w:pBdr>
      <w:jc w:val="center"/>
    </w:pPr>
    <w:rPr>
      <w:rFonts w:ascii="ArAal" w:hAnsi="ArAal" w:cs="ArAal"/>
      <w:vanish/>
      <w:sz w:val="16"/>
      <w:szCs w:val="20"/>
      <w:lang w:eastAsia="es-MX"/>
    </w:rPr>
  </w:style>
  <w:style w:type="character" w:styleId="Hipervnculo">
    <w:name w:val="Hyperlink"/>
    <w:basedOn w:val="Fuentedeprrafopredeter"/>
    <w:uiPriority w:val="99"/>
    <w:unhideWhenUsed/>
    <w:rsid w:val="0098530D"/>
    <w:rPr>
      <w:color w:val="0563C1" w:themeColor="hyperlink"/>
      <w:u w:val="single"/>
    </w:rPr>
  </w:style>
  <w:style w:type="character" w:styleId="Mencinsinresolver">
    <w:name w:val="Unresolved Mention"/>
    <w:basedOn w:val="Fuentedeprrafopredeter"/>
    <w:uiPriority w:val="99"/>
    <w:semiHidden/>
    <w:unhideWhenUsed/>
    <w:rsid w:val="00985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116</Pages>
  <Words>54516</Words>
  <Characters>299841</Characters>
  <Application>Microsoft Office Word</Application>
  <DocSecurity>0</DocSecurity>
  <Lines>2498</Lines>
  <Paragraphs>707</Paragraphs>
  <ScaleCrop>false</ScaleCrop>
  <Company/>
  <LinksUpToDate>false</LinksUpToDate>
  <CharactersWithSpaces>353650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2025-01-03T15:10:00Z</dcterms:created>
  <dcterms:modified xsi:type="dcterms:W3CDTF">2025-01-03T15:11:00Z</dcterms:modified>
</cp:coreProperties>
</file>